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883F" w14:textId="7EF028C5" w:rsidR="00ED57D0" w:rsidRPr="00ED57D0" w:rsidRDefault="00ED57D0" w:rsidP="009E42FF">
      <w:pPr>
        <w:spacing w:after="0" w:line="240" w:lineRule="auto"/>
        <w:ind w:left="0" w:hanging="2"/>
        <w:jc w:val="center"/>
        <w:rPr>
          <w:b/>
          <w:bCs/>
        </w:rPr>
      </w:pPr>
      <w:r w:rsidRPr="00ED57D0">
        <w:rPr>
          <w:b/>
          <w:bCs/>
        </w:rPr>
        <w:t xml:space="preserve">Investigación preliminar sobre el uso de </w:t>
      </w:r>
      <w:proofErr w:type="spellStart"/>
      <w:r w:rsidRPr="009E42FF">
        <w:rPr>
          <w:b/>
          <w:bCs/>
          <w:i/>
          <w:iCs/>
        </w:rPr>
        <w:t>Sac</w:t>
      </w:r>
      <w:r w:rsidR="00A43754" w:rsidRPr="009E42FF">
        <w:rPr>
          <w:b/>
          <w:bCs/>
          <w:i/>
          <w:iCs/>
        </w:rPr>
        <w:t>c</w:t>
      </w:r>
      <w:r w:rsidRPr="009E42FF">
        <w:rPr>
          <w:b/>
          <w:bCs/>
          <w:i/>
          <w:iCs/>
        </w:rPr>
        <w:t>haromyces</w:t>
      </w:r>
      <w:proofErr w:type="spellEnd"/>
      <w:r w:rsidRPr="009E42FF">
        <w:rPr>
          <w:b/>
          <w:bCs/>
          <w:i/>
          <w:iCs/>
        </w:rPr>
        <w:t xml:space="preserve"> </w:t>
      </w:r>
      <w:proofErr w:type="spellStart"/>
      <w:r w:rsidRPr="009E42FF">
        <w:rPr>
          <w:b/>
          <w:bCs/>
          <w:i/>
          <w:iCs/>
        </w:rPr>
        <w:t>cerevisiae</w:t>
      </w:r>
      <w:proofErr w:type="spellEnd"/>
      <w:r w:rsidRPr="00ED57D0">
        <w:rPr>
          <w:b/>
          <w:bCs/>
        </w:rPr>
        <w:t xml:space="preserve"> como vehículo para encapsular compuestos fenólicos</w:t>
      </w:r>
    </w:p>
    <w:p w14:paraId="1830C542" w14:textId="77777777" w:rsidR="00DA1E04" w:rsidRDefault="00DA1E04" w:rsidP="009E42FF">
      <w:pPr>
        <w:spacing w:after="0" w:line="240" w:lineRule="auto"/>
        <w:ind w:left="0" w:hanging="2"/>
        <w:jc w:val="center"/>
      </w:pPr>
    </w:p>
    <w:p w14:paraId="4E888449" w14:textId="74AFD430" w:rsidR="00131571" w:rsidRPr="009E42FF" w:rsidRDefault="00131571" w:rsidP="009E42FF">
      <w:pPr>
        <w:spacing w:after="0" w:line="240" w:lineRule="auto"/>
        <w:ind w:left="0" w:hanging="2"/>
        <w:jc w:val="center"/>
      </w:pPr>
      <w:r w:rsidRPr="009E42FF">
        <w:t xml:space="preserve">Antón M (1), </w:t>
      </w:r>
      <w:r w:rsidR="00523886" w:rsidRPr="009E42FF">
        <w:t xml:space="preserve">Colombo </w:t>
      </w:r>
      <w:proofErr w:type="gramStart"/>
      <w:r w:rsidR="00523886" w:rsidRPr="009E42FF">
        <w:t>A(</w:t>
      </w:r>
      <w:proofErr w:type="gramEnd"/>
      <w:r w:rsidR="00523886" w:rsidRPr="009E42FF">
        <w:t>2)</w:t>
      </w:r>
      <w:r w:rsidRPr="009E42FF">
        <w:t>,</w:t>
      </w:r>
      <w:r w:rsidR="00523886" w:rsidRPr="009E42FF">
        <w:t xml:space="preserve"> Barrientos V </w:t>
      </w:r>
      <w:r w:rsidRPr="009E42FF">
        <w:t>(3), Aguirre A (1,2,</w:t>
      </w:r>
      <w:r w:rsidR="00523886" w:rsidRPr="009E42FF">
        <w:t>4</w:t>
      </w:r>
      <w:r w:rsidRPr="009E42FF">
        <w:t>), Borneo R</w:t>
      </w:r>
      <w:r w:rsidR="00523886" w:rsidRPr="009E42FF">
        <w:t xml:space="preserve"> </w:t>
      </w:r>
      <w:r w:rsidRPr="009E42FF">
        <w:t>(1,2,</w:t>
      </w:r>
      <w:r w:rsidR="00523886" w:rsidRPr="009E42FF">
        <w:t>4</w:t>
      </w:r>
      <w:r w:rsidRPr="009E42FF">
        <w:t>)</w:t>
      </w:r>
    </w:p>
    <w:p w14:paraId="0402A63B" w14:textId="77777777" w:rsidR="009E42FF" w:rsidRPr="009E42FF" w:rsidRDefault="009E42FF" w:rsidP="009E42FF">
      <w:pPr>
        <w:spacing w:after="0" w:line="240" w:lineRule="auto"/>
        <w:ind w:left="0" w:hanging="2"/>
        <w:jc w:val="center"/>
        <w:rPr>
          <w:vertAlign w:val="superscript"/>
        </w:rPr>
      </w:pPr>
    </w:p>
    <w:p w14:paraId="77784F36" w14:textId="1A53D36E" w:rsidR="00B42D02" w:rsidRPr="009E42FF" w:rsidRDefault="00B42D02" w:rsidP="009E42FF">
      <w:pPr>
        <w:pStyle w:val="Prrafodelista"/>
        <w:numPr>
          <w:ilvl w:val="0"/>
          <w:numId w:val="1"/>
        </w:numPr>
        <w:spacing w:after="0" w:line="240" w:lineRule="auto"/>
        <w:ind w:leftChars="0" w:firstLineChars="0"/>
      </w:pPr>
      <w:r w:rsidRPr="009E42FF">
        <w:t xml:space="preserve">Instituto de Ciencia y Tecnología de los Alimentos ICYTAC-CONICET, Universidad Nacional de Córdoba, </w:t>
      </w:r>
      <w:r w:rsidRPr="009E42FF">
        <w:rPr>
          <w:color w:val="000000"/>
        </w:rPr>
        <w:t xml:space="preserve">Av. Juan </w:t>
      </w:r>
      <w:proofErr w:type="spellStart"/>
      <w:r w:rsidRPr="009E42FF">
        <w:rPr>
          <w:color w:val="000000"/>
        </w:rPr>
        <w:t>Filloy</w:t>
      </w:r>
      <w:proofErr w:type="spellEnd"/>
      <w:r w:rsidRPr="009E42FF">
        <w:rPr>
          <w:color w:val="000000"/>
        </w:rPr>
        <w:t xml:space="preserve"> S/N, Córdoba, Argentina.</w:t>
      </w:r>
      <w:r w:rsidRPr="009E42FF">
        <w:t xml:space="preserve"> </w:t>
      </w:r>
    </w:p>
    <w:p w14:paraId="5D83D0D0" w14:textId="77777777" w:rsidR="00B42D02" w:rsidRPr="009E42FF" w:rsidRDefault="00B42D02" w:rsidP="009E42FF">
      <w:pPr>
        <w:pStyle w:val="Prrafodelista"/>
        <w:numPr>
          <w:ilvl w:val="0"/>
          <w:numId w:val="1"/>
        </w:numPr>
        <w:spacing w:after="0" w:line="240" w:lineRule="auto"/>
        <w:ind w:leftChars="0" w:firstLineChars="0"/>
      </w:pPr>
      <w:r w:rsidRPr="009E42FF">
        <w:rPr>
          <w:rFonts w:eastAsia="Times New Roman"/>
          <w:color w:val="000000"/>
          <w:lang w:eastAsia="es-AR"/>
        </w:rPr>
        <w:t>Facultad de Ciencias Exactas, Físicas y Naturales, Universidad Nacional de Córdoba., Av. Vélez Sarsfield, Córdoba, Argentina.</w:t>
      </w:r>
    </w:p>
    <w:p w14:paraId="24EEA1B1" w14:textId="77777777" w:rsidR="00B42D02" w:rsidRPr="009E42FF" w:rsidRDefault="00B42D02" w:rsidP="009E42FF">
      <w:pPr>
        <w:pStyle w:val="Prrafodelista"/>
        <w:numPr>
          <w:ilvl w:val="0"/>
          <w:numId w:val="1"/>
        </w:numPr>
        <w:spacing w:after="0" w:line="240" w:lineRule="auto"/>
        <w:ind w:leftChars="0" w:firstLineChars="0"/>
      </w:pPr>
      <w:r w:rsidRPr="009E42FF">
        <w:t xml:space="preserve">CEPROCOR, Ministerio de Ciencia y Tecnología, Gobierno de Córdoba, Álvarez de Arenales 180, Córdoba, Argentina. </w:t>
      </w:r>
    </w:p>
    <w:p w14:paraId="71BDCCE1" w14:textId="6DE17246" w:rsidR="00B42D02" w:rsidRPr="009E42FF" w:rsidRDefault="00B42D02" w:rsidP="009E42FF">
      <w:pPr>
        <w:pStyle w:val="Prrafodelista"/>
        <w:numPr>
          <w:ilvl w:val="0"/>
          <w:numId w:val="1"/>
        </w:numPr>
        <w:spacing w:after="0" w:line="240" w:lineRule="auto"/>
        <w:ind w:leftChars="0" w:firstLineChars="0"/>
      </w:pPr>
      <w:r w:rsidRPr="009E42FF">
        <w:rPr>
          <w:rFonts w:eastAsia="Times New Roman"/>
          <w:color w:val="000000"/>
          <w:lang w:eastAsia="es-AR"/>
        </w:rPr>
        <w:t>Instituto Superior de Desarrollo, Investigación y Servicios en Alimentos (ISIDSA). SECYT. Universidad Nacional de Córdoba. Córdoba, Argentina.</w:t>
      </w:r>
    </w:p>
    <w:p w14:paraId="7CE9D918" w14:textId="77777777" w:rsidR="009E42FF" w:rsidRPr="009E42FF" w:rsidRDefault="009E42FF" w:rsidP="009E42FF">
      <w:pPr>
        <w:pStyle w:val="Prrafodelista"/>
        <w:spacing w:after="0" w:line="240" w:lineRule="auto"/>
        <w:ind w:leftChars="0" w:left="358" w:firstLineChars="0" w:firstLine="0"/>
      </w:pPr>
    </w:p>
    <w:p w14:paraId="476E4E3C" w14:textId="67DED4AB" w:rsidR="00B42D02" w:rsidRDefault="00B42D02" w:rsidP="009E42FF">
      <w:pPr>
        <w:spacing w:after="0" w:line="240" w:lineRule="auto"/>
        <w:ind w:leftChars="0" w:left="0" w:firstLineChars="0" w:firstLine="0"/>
        <w:rPr>
          <w:color w:val="000000" w:themeColor="text1"/>
        </w:rPr>
      </w:pPr>
      <w:r w:rsidRPr="009E42FF">
        <w:t>Direcci</w:t>
      </w:r>
      <w:r w:rsidR="00032AD3" w:rsidRPr="009E42FF">
        <w:t>ón</w:t>
      </w:r>
      <w:r w:rsidRPr="009E42FF">
        <w:t xml:space="preserve"> de e-mail: </w:t>
      </w:r>
      <w:hyperlink r:id="rId8" w:history="1">
        <w:r w:rsidRPr="009E42FF">
          <w:rPr>
            <w:rStyle w:val="Hipervnculo"/>
            <w:color w:val="000000" w:themeColor="text1"/>
            <w:u w:val="none"/>
          </w:rPr>
          <w:t>mica.anton@agro.unc.edu.ar</w:t>
        </w:r>
      </w:hyperlink>
      <w:r w:rsidR="00032AD3" w:rsidRPr="009E42FF">
        <w:rPr>
          <w:color w:val="000000" w:themeColor="text1"/>
        </w:rPr>
        <w:t>.</w:t>
      </w:r>
    </w:p>
    <w:p w14:paraId="6A9193D6" w14:textId="77777777" w:rsidR="009E42FF" w:rsidRPr="009E42FF" w:rsidRDefault="009E42FF" w:rsidP="009E42FF">
      <w:pPr>
        <w:spacing w:after="0" w:line="240" w:lineRule="auto"/>
        <w:ind w:leftChars="0" w:left="0" w:firstLineChars="0" w:firstLine="0"/>
        <w:rPr>
          <w:color w:val="000000" w:themeColor="text1"/>
        </w:rPr>
      </w:pPr>
    </w:p>
    <w:p w14:paraId="686BCE69" w14:textId="5E58FC16" w:rsidR="00B47EBB" w:rsidRPr="00886E60" w:rsidRDefault="00F51E82" w:rsidP="009E42FF">
      <w:pPr>
        <w:spacing w:after="0" w:line="240" w:lineRule="auto"/>
        <w:ind w:left="0" w:hanging="2"/>
      </w:pPr>
      <w:r w:rsidRPr="00886E60">
        <w:t>El ácido gálico (ácido 3,4,5-trihidroxibenzoico), AG, es uno de los compuestos fenólicos más frecuente</w:t>
      </w:r>
      <w:r w:rsidR="00150E27">
        <w:t>mente encontrado</w:t>
      </w:r>
      <w:r w:rsidRPr="00886E60">
        <w:t xml:space="preserve"> en frutas y vegetales. Diversas investigaciones han demostrado </w:t>
      </w:r>
      <w:r w:rsidR="00862E0B" w:rsidRPr="00886E60">
        <w:t>su</w:t>
      </w:r>
      <w:r w:rsidRPr="00886E60">
        <w:t xml:space="preserve"> alta capacidad antioxidante</w:t>
      </w:r>
      <w:r w:rsidR="002459B7" w:rsidRPr="00886E60">
        <w:t>.</w:t>
      </w:r>
      <w:r w:rsidRPr="00886E60">
        <w:t xml:space="preserve"> Sin embargo, el AG </w:t>
      </w:r>
      <w:r w:rsidR="00F14241" w:rsidRPr="00886E60">
        <w:t>posee</w:t>
      </w:r>
      <w:r w:rsidRPr="00886E60">
        <w:t xml:space="preserve"> una fuerte astringencia</w:t>
      </w:r>
      <w:r w:rsidR="005C6D38" w:rsidRPr="00886E60">
        <w:t xml:space="preserve"> y tiende a autooxidarse </w:t>
      </w:r>
      <w:r w:rsidR="002459B7" w:rsidRPr="00886E60">
        <w:t xml:space="preserve">o </w:t>
      </w:r>
      <w:r w:rsidR="005C6D38" w:rsidRPr="00886E60">
        <w:t xml:space="preserve">degradarse durante el procesamiento de alimentos, sobre todo a elevadas temperaturas, lo que </w:t>
      </w:r>
      <w:r w:rsidRPr="00886E60">
        <w:t xml:space="preserve">puede limitar sus </w:t>
      </w:r>
      <w:r w:rsidR="00367A22" w:rsidRPr="00886E60">
        <w:t xml:space="preserve">potenciales </w:t>
      </w:r>
      <w:r w:rsidRPr="00886E60">
        <w:t xml:space="preserve">aplicaciones en </w:t>
      </w:r>
      <w:r w:rsidR="005C6D38" w:rsidRPr="00886E60">
        <w:t xml:space="preserve">las </w:t>
      </w:r>
      <w:r w:rsidRPr="00886E60">
        <w:t>formulaciones de alimentos funcionales.</w:t>
      </w:r>
      <w:r w:rsidR="005C6D38" w:rsidRPr="00886E60">
        <w:t xml:space="preserve"> </w:t>
      </w:r>
      <w:r w:rsidRPr="00886E60">
        <w:t>A fin de proteger compuestos bioactivos</w:t>
      </w:r>
      <w:r w:rsidR="00367A22" w:rsidRPr="00886E60">
        <w:t>,</w:t>
      </w:r>
      <w:r w:rsidRPr="00886E60">
        <w:t xml:space="preserve"> como el AG, se puede utilizar el proceso de microencapsulación</w:t>
      </w:r>
      <w:r w:rsidR="00ED57D0" w:rsidRPr="00886E60">
        <w:t xml:space="preserve"> en</w:t>
      </w:r>
      <w:r w:rsidRPr="00886E60">
        <w:t xml:space="preserve"> </w:t>
      </w:r>
      <w:r w:rsidR="00ED57D0" w:rsidRPr="00886E60">
        <w:t>d</w:t>
      </w:r>
      <w:r w:rsidRPr="00886E60">
        <w:t>iversas matrices</w:t>
      </w:r>
      <w:r w:rsidR="00ED57D0" w:rsidRPr="00886E60">
        <w:t xml:space="preserve">. </w:t>
      </w:r>
      <w:r w:rsidRPr="00886E60">
        <w:t>En</w:t>
      </w:r>
      <w:r w:rsidR="00DC6B85" w:rsidRPr="00886E60">
        <w:t xml:space="preserve"> e</w:t>
      </w:r>
      <w:r w:rsidRPr="00886E60">
        <w:t>ste trabajo se realizó una investigación preliminar sobre el uso de levadura panadera (</w:t>
      </w:r>
      <w:proofErr w:type="spellStart"/>
      <w:r w:rsidRPr="009E42FF">
        <w:rPr>
          <w:i/>
          <w:iCs/>
        </w:rPr>
        <w:t>Sac</w:t>
      </w:r>
      <w:r w:rsidR="00A43754" w:rsidRPr="009E42FF">
        <w:rPr>
          <w:i/>
          <w:iCs/>
        </w:rPr>
        <w:t>c</w:t>
      </w:r>
      <w:r w:rsidRPr="009E42FF">
        <w:rPr>
          <w:i/>
          <w:iCs/>
        </w:rPr>
        <w:t>haromyces</w:t>
      </w:r>
      <w:proofErr w:type="spellEnd"/>
      <w:r w:rsidRPr="009E42FF">
        <w:rPr>
          <w:i/>
          <w:iCs/>
        </w:rPr>
        <w:t xml:space="preserve"> </w:t>
      </w:r>
      <w:proofErr w:type="spellStart"/>
      <w:r w:rsidRPr="009E42FF">
        <w:rPr>
          <w:i/>
          <w:iCs/>
        </w:rPr>
        <w:t>cerevisiae</w:t>
      </w:r>
      <w:proofErr w:type="spellEnd"/>
      <w:r w:rsidRPr="00886E60">
        <w:t xml:space="preserve">) como matriz de encapsulación del AG. El proceso de encapsulación se </w:t>
      </w:r>
      <w:r w:rsidR="005A664A" w:rsidRPr="00886E60">
        <w:t>realizó</w:t>
      </w:r>
      <w:r w:rsidRPr="00886E60">
        <w:t xml:space="preserve"> utilizando células de levadura plasmolizadas</w:t>
      </w:r>
      <w:r w:rsidR="007766DC" w:rsidRPr="00886E60">
        <w:t xml:space="preserve"> (LP)</w:t>
      </w:r>
      <w:r w:rsidRPr="00886E60">
        <w:t xml:space="preserve"> y</w:t>
      </w:r>
      <w:r w:rsidR="007766DC" w:rsidRPr="00886E60">
        <w:t xml:space="preserve"> levadura</w:t>
      </w:r>
      <w:r w:rsidRPr="00886E60">
        <w:t xml:space="preserve"> no plasmolizadas</w:t>
      </w:r>
      <w:r w:rsidR="007766DC" w:rsidRPr="00886E60">
        <w:t xml:space="preserve"> (LNP)</w:t>
      </w:r>
      <w:r w:rsidRPr="00886E60">
        <w:t xml:space="preserve">.  </w:t>
      </w:r>
      <w:r w:rsidR="008F4FB1" w:rsidRPr="00886E60">
        <w:t>Para la plasmólisis</w:t>
      </w:r>
      <w:r w:rsidR="000827E6" w:rsidRPr="00886E60">
        <w:t xml:space="preserve">, las </w:t>
      </w:r>
      <w:r w:rsidR="00DD3C66" w:rsidRPr="00886E60">
        <w:t>levaduras</w:t>
      </w:r>
      <w:r w:rsidR="000827E6" w:rsidRPr="00886E60">
        <w:t xml:space="preserve"> se mezclaron con una solución al 10% de NaCl y fueron incubadas </w:t>
      </w:r>
      <w:r w:rsidR="00527FB7" w:rsidRPr="00886E60">
        <w:t>a</w:t>
      </w:r>
      <w:r w:rsidR="000827E6" w:rsidRPr="00886E60">
        <w:t xml:space="preserve"> 45°C con agitación</w:t>
      </w:r>
      <w:r w:rsidR="005A664A" w:rsidRPr="00886E60">
        <w:t xml:space="preserve"> </w:t>
      </w:r>
      <w:r w:rsidR="0065226B" w:rsidRPr="00886E60">
        <w:t xml:space="preserve">(77 rpm) </w:t>
      </w:r>
      <w:r w:rsidR="000827E6" w:rsidRPr="00886E60">
        <w:t xml:space="preserve">durante 24 hs. Las células de </w:t>
      </w:r>
      <w:r w:rsidR="007766DC" w:rsidRPr="00886E60">
        <w:t>LP</w:t>
      </w:r>
      <w:r w:rsidR="00A45738" w:rsidRPr="00886E60">
        <w:t xml:space="preserve"> se recogieron por centrifugación a 4100</w:t>
      </w:r>
      <w:r w:rsidR="00E8106D" w:rsidRPr="00886E60">
        <w:t xml:space="preserve"> </w:t>
      </w:r>
      <w:r w:rsidR="00A45738" w:rsidRPr="00886E60">
        <w:t xml:space="preserve">g durante 10 min a 4°C. Luego de varios lavados con agua destilada, el pellet fue almacenado a -40°C y liofilizado. La </w:t>
      </w:r>
      <w:r w:rsidR="007766DC" w:rsidRPr="00886E60">
        <w:t>LNP</w:t>
      </w:r>
      <w:r w:rsidR="00A45738" w:rsidRPr="00886E60">
        <w:t xml:space="preserve"> se </w:t>
      </w:r>
      <w:r w:rsidR="0065226B" w:rsidRPr="00886E60">
        <w:t xml:space="preserve">mezcló </w:t>
      </w:r>
      <w:r w:rsidR="00086E1A" w:rsidRPr="00886E60">
        <w:t xml:space="preserve">con </w:t>
      </w:r>
      <w:r w:rsidR="00A45738" w:rsidRPr="00886E60">
        <w:t>una solución al 10% de etanol</w:t>
      </w:r>
      <w:r w:rsidR="00086E1A" w:rsidRPr="00886E60">
        <w:t xml:space="preserve"> </w:t>
      </w:r>
      <w:r w:rsidR="007D2263" w:rsidRPr="00886E60">
        <w:t xml:space="preserve">y se le realizaron </w:t>
      </w:r>
      <w:r w:rsidR="0065226B" w:rsidRPr="00886E60">
        <w:t>lavado</w:t>
      </w:r>
      <w:r w:rsidR="007D2263" w:rsidRPr="00886E60">
        <w:t>s</w:t>
      </w:r>
      <w:r w:rsidR="0065226B" w:rsidRPr="00886E60">
        <w:t xml:space="preserve"> con</w:t>
      </w:r>
      <w:r w:rsidR="00B47EBB" w:rsidRPr="00886E60">
        <w:t xml:space="preserve"> agua </w:t>
      </w:r>
      <w:r w:rsidR="00E8106D" w:rsidRPr="00886E60">
        <w:t>destilada. Las</w:t>
      </w:r>
      <w:r w:rsidR="00086E1A" w:rsidRPr="00886E60">
        <w:t xml:space="preserve"> células de levadura se recogieron por centrifugación a 2100 g durante 5 min a 8°C. </w:t>
      </w:r>
      <w:r w:rsidR="00B47EBB" w:rsidRPr="00886E60">
        <w:t>El pellet fue almacenado a -40°C y luego liofilizado</w:t>
      </w:r>
      <w:r w:rsidR="002A7D87" w:rsidRPr="00886E60">
        <w:t>.</w:t>
      </w:r>
      <w:r w:rsidR="00B47EBB" w:rsidRPr="00886E60">
        <w:t xml:space="preserve"> Las microcápsulas de AG fueron elaboradas mediante infusión de </w:t>
      </w:r>
      <w:r w:rsidR="007766DC" w:rsidRPr="00886E60">
        <w:t>LP</w:t>
      </w:r>
      <w:r w:rsidR="00B47EBB" w:rsidRPr="00886E60">
        <w:t xml:space="preserve"> y </w:t>
      </w:r>
      <w:r w:rsidR="007766DC" w:rsidRPr="00886E60">
        <w:t xml:space="preserve">LNP </w:t>
      </w:r>
      <w:r w:rsidR="00B47EBB" w:rsidRPr="00886E60">
        <w:t xml:space="preserve">con </w:t>
      </w:r>
      <w:r w:rsidR="00DC6B85" w:rsidRPr="00886E60">
        <w:t xml:space="preserve">AG </w:t>
      </w:r>
      <w:r w:rsidR="00B47EBB" w:rsidRPr="00886E60">
        <w:t xml:space="preserve">en agua (100%) y solución </w:t>
      </w:r>
      <w:r w:rsidR="007766DC" w:rsidRPr="00886E60">
        <w:t xml:space="preserve">etanol-agua </w:t>
      </w:r>
      <w:r w:rsidR="00B47EBB" w:rsidRPr="00886E60">
        <w:t xml:space="preserve">(50%) en baño con </w:t>
      </w:r>
      <w:r w:rsidR="00886E60" w:rsidRPr="00886E60">
        <w:t>agitación (</w:t>
      </w:r>
      <w:r w:rsidR="002A7D87" w:rsidRPr="00886E60">
        <w:t>140 rpm)</w:t>
      </w:r>
      <w:r w:rsidR="00B47EBB" w:rsidRPr="00886E60">
        <w:t xml:space="preserve"> por </w:t>
      </w:r>
      <w:r w:rsidR="002A7D87" w:rsidRPr="00886E60">
        <w:t xml:space="preserve">16 </w:t>
      </w:r>
      <w:r w:rsidR="00B47EBB" w:rsidRPr="00886E60">
        <w:t>h</w:t>
      </w:r>
      <w:r w:rsidR="00D52DDF" w:rsidRPr="00886E60">
        <w:t>s</w:t>
      </w:r>
      <w:r w:rsidR="00B47EBB" w:rsidRPr="00886E60">
        <w:t xml:space="preserve"> a 45°C. Se evaluó el efecto del tipo de material inicial (plasmolizada</w:t>
      </w:r>
      <w:r w:rsidR="001E028B" w:rsidRPr="00886E60">
        <w:t>/no plasmolizada</w:t>
      </w:r>
      <w:r w:rsidR="00B47EBB" w:rsidRPr="00886E60">
        <w:t xml:space="preserve">) y del solvente utilizado en la Eficiencia </w:t>
      </w:r>
      <w:r w:rsidR="00681AFD" w:rsidRPr="00886E60">
        <w:t xml:space="preserve">de Encapsulación </w:t>
      </w:r>
      <w:r w:rsidR="00B47EBB" w:rsidRPr="00886E60">
        <w:t xml:space="preserve">(EE, %) y el </w:t>
      </w:r>
      <w:r w:rsidR="00086E1A" w:rsidRPr="00886E60">
        <w:t xml:space="preserve">Rendimiento </w:t>
      </w:r>
      <w:r w:rsidR="00B47EBB" w:rsidRPr="00886E60">
        <w:t xml:space="preserve">de </w:t>
      </w:r>
      <w:r w:rsidR="00086E1A" w:rsidRPr="00886E60">
        <w:t xml:space="preserve">Encapsulación </w:t>
      </w:r>
      <w:r w:rsidR="00B47EBB" w:rsidRPr="00886E60">
        <w:t>(</w:t>
      </w:r>
      <w:r w:rsidR="00E8106D" w:rsidRPr="00886E60">
        <w:t>RE, %</w:t>
      </w:r>
      <w:r w:rsidR="00B47EBB" w:rsidRPr="00886E60">
        <w:t xml:space="preserve">) calculado como </w:t>
      </w:r>
      <w:proofErr w:type="gramStart"/>
      <w:r w:rsidR="00B47EBB" w:rsidRPr="00886E60">
        <w:t>EE(</w:t>
      </w:r>
      <w:proofErr w:type="gramEnd"/>
      <w:r w:rsidR="00B47EBB" w:rsidRPr="00886E60">
        <w:t>%)=</w:t>
      </w:r>
      <w:proofErr w:type="spellStart"/>
      <w:r w:rsidR="00C24E33" w:rsidRPr="00886E60">
        <w:t>M</w:t>
      </w:r>
      <w:r w:rsidR="00BB4DA2" w:rsidRPr="00886E60">
        <w:t>agE</w:t>
      </w:r>
      <w:proofErr w:type="spellEnd"/>
      <w:r w:rsidR="00B47EBB" w:rsidRPr="00886E60">
        <w:t>*100/</w:t>
      </w:r>
      <w:proofErr w:type="spellStart"/>
      <w:r w:rsidR="00D52DDF" w:rsidRPr="00886E60">
        <w:t>MT</w:t>
      </w:r>
      <w:r w:rsidR="00BB4DA2" w:rsidRPr="00886E60">
        <w:t>ag</w:t>
      </w:r>
      <w:proofErr w:type="spellEnd"/>
      <w:r w:rsidR="00886E60" w:rsidRPr="00886E60">
        <w:t xml:space="preserve"> </w:t>
      </w:r>
      <w:r w:rsidR="008E38A2" w:rsidRPr="00886E60">
        <w:t>y RE</w:t>
      </w:r>
      <w:r w:rsidR="00B47EBB" w:rsidRPr="00886E60">
        <w:t>(%)=</w:t>
      </w:r>
      <w:proofErr w:type="spellStart"/>
      <w:r w:rsidR="00D52DDF" w:rsidRPr="00886E60">
        <w:t>M</w:t>
      </w:r>
      <w:r w:rsidR="00C24E33" w:rsidRPr="00886E60">
        <w:t>agE</w:t>
      </w:r>
      <w:proofErr w:type="spellEnd"/>
      <w:r w:rsidR="00B47EBB" w:rsidRPr="00886E60">
        <w:t>*100/</w:t>
      </w:r>
      <w:r w:rsidR="00BB4DA2" w:rsidRPr="00886E60">
        <w:t>Mm</w:t>
      </w:r>
      <w:r w:rsidR="000E6B80">
        <w:t>,</w:t>
      </w:r>
      <w:r w:rsidR="00BB4DA2" w:rsidRPr="00886E60">
        <w:t xml:space="preserve"> </w:t>
      </w:r>
      <w:r w:rsidR="00B47EBB" w:rsidRPr="00886E60">
        <w:t xml:space="preserve">donde </w:t>
      </w:r>
      <w:proofErr w:type="spellStart"/>
      <w:r w:rsidR="00D52DDF" w:rsidRPr="00886E60">
        <w:t>M</w:t>
      </w:r>
      <w:r w:rsidR="00C24E33" w:rsidRPr="00886E60">
        <w:t>agE</w:t>
      </w:r>
      <w:proofErr w:type="spellEnd"/>
      <w:r w:rsidR="00B47EBB" w:rsidRPr="00886E60">
        <w:t xml:space="preserve"> corresponde a la masa de </w:t>
      </w:r>
      <w:r w:rsidR="00DC6B85" w:rsidRPr="00886E60">
        <w:t>AG</w:t>
      </w:r>
      <w:r w:rsidR="00B47EBB" w:rsidRPr="00886E60">
        <w:t xml:space="preserve"> encapsulado, </w:t>
      </w:r>
      <w:proofErr w:type="spellStart"/>
      <w:r w:rsidR="00D52DDF" w:rsidRPr="00886E60">
        <w:t>MT</w:t>
      </w:r>
      <w:r w:rsidR="00C24E33" w:rsidRPr="00886E60">
        <w:t>ag</w:t>
      </w:r>
      <w:proofErr w:type="spellEnd"/>
      <w:r w:rsidR="00B47EBB" w:rsidRPr="00886E60">
        <w:t xml:space="preserve"> a la masa total  de </w:t>
      </w:r>
      <w:r w:rsidR="00DC6B85" w:rsidRPr="00886E60">
        <w:t>AG</w:t>
      </w:r>
      <w:r w:rsidR="00B47EBB" w:rsidRPr="00886E60">
        <w:t xml:space="preserve"> añadida inicialmente, y </w:t>
      </w:r>
      <w:r w:rsidR="00D52DDF" w:rsidRPr="00886E60">
        <w:t>M</w:t>
      </w:r>
      <w:r w:rsidR="00C24E33" w:rsidRPr="00886E60">
        <w:t>m</w:t>
      </w:r>
      <w:r w:rsidR="00BB4DA2" w:rsidRPr="00886E60">
        <w:t xml:space="preserve"> </w:t>
      </w:r>
      <w:r w:rsidR="00D52DDF" w:rsidRPr="00886E60">
        <w:t xml:space="preserve">a </w:t>
      </w:r>
      <w:r w:rsidR="00B47EBB" w:rsidRPr="00886E60">
        <w:t xml:space="preserve">la masa de las microcápsulas de células de levadura </w:t>
      </w:r>
      <w:r w:rsidR="00886E60" w:rsidRPr="00886E60">
        <w:t>resultantes. También</w:t>
      </w:r>
      <w:r w:rsidR="00B47EBB" w:rsidRPr="00886E60">
        <w:t>, se estudió el efecto del tipo de levadura utilizada (plasmolizada y no plasmolizada)</w:t>
      </w:r>
      <w:r w:rsidR="00086E1A" w:rsidRPr="00886E60">
        <w:t xml:space="preserve"> </w:t>
      </w:r>
      <w:r w:rsidR="00B47EBB" w:rsidRPr="00886E60">
        <w:t xml:space="preserve">en el color del material final a tiempo </w:t>
      </w:r>
      <w:r w:rsidR="00DC6B85" w:rsidRPr="00886E60">
        <w:t>0</w:t>
      </w:r>
      <w:r w:rsidR="00B47EBB" w:rsidRPr="00886E60">
        <w:t xml:space="preserve"> y a 30 días. Los resultados mostraron que los valores de EE de las muestras oscilaron entre 3 y 40%, mientras que </w:t>
      </w:r>
      <w:r w:rsidR="00C24E33" w:rsidRPr="00886E60">
        <w:t>el RE</w:t>
      </w:r>
      <w:r w:rsidR="00B47EBB" w:rsidRPr="00886E60">
        <w:t xml:space="preserve"> de las microcápsulas </w:t>
      </w:r>
      <w:r w:rsidR="00086E1A" w:rsidRPr="00886E60">
        <w:t xml:space="preserve">estuvo </w:t>
      </w:r>
      <w:r w:rsidR="00B47EBB" w:rsidRPr="00886E60">
        <w:t>en el rango de 1-10%.</w:t>
      </w:r>
      <w:r w:rsidR="00F14241" w:rsidRPr="00886E60">
        <w:t xml:space="preserve"> </w:t>
      </w:r>
      <w:r w:rsidR="00C24E33" w:rsidRPr="00886E60">
        <w:t>Con</w:t>
      </w:r>
      <w:r w:rsidR="00F14241" w:rsidRPr="00886E60">
        <w:t xml:space="preserve"> </w:t>
      </w:r>
      <w:r w:rsidR="00C24E33" w:rsidRPr="00886E60">
        <w:t xml:space="preserve">respecto al </w:t>
      </w:r>
      <w:r w:rsidR="00B47EBB" w:rsidRPr="00886E60">
        <w:t xml:space="preserve">color, el proceso de elaboración tuvo un efecto de blanqueamiento en comparación con el material original (mayores valores de L). </w:t>
      </w:r>
      <w:r w:rsidR="00086E1A" w:rsidRPr="00886E60">
        <w:t>Sin emb</w:t>
      </w:r>
      <w:r w:rsidR="007227FE" w:rsidRPr="00886E60">
        <w:t>a</w:t>
      </w:r>
      <w:r w:rsidR="00086E1A" w:rsidRPr="00886E60">
        <w:t>rgo, a</w:t>
      </w:r>
      <w:r w:rsidR="00B47EBB" w:rsidRPr="00886E60">
        <w:t xml:space="preserve"> los 30 días todas las muestras fueron más oscuras</w:t>
      </w:r>
      <w:r w:rsidR="00F14241" w:rsidRPr="00886E60">
        <w:t xml:space="preserve"> </w:t>
      </w:r>
      <w:r w:rsidR="00B47EBB" w:rsidRPr="00886E60">
        <w:t>(menores valores de L).</w:t>
      </w:r>
      <w:r w:rsidR="00E66C75" w:rsidRPr="00886E60">
        <w:t xml:space="preserve"> </w:t>
      </w:r>
      <w:r w:rsidR="00B47EBB" w:rsidRPr="00886E60">
        <w:t xml:space="preserve">Las microcápsulas de </w:t>
      </w:r>
      <w:r w:rsidR="001234C7" w:rsidRPr="00886E60">
        <w:t xml:space="preserve">LP y LNP </w:t>
      </w:r>
      <w:r w:rsidR="00B47EBB" w:rsidRPr="00886E60">
        <w:lastRenderedPageBreak/>
        <w:t xml:space="preserve">elaboradas con 100% </w:t>
      </w:r>
      <w:r w:rsidR="00222C51" w:rsidRPr="00886E60">
        <w:t xml:space="preserve">de </w:t>
      </w:r>
      <w:r w:rsidR="00B47EBB" w:rsidRPr="00886E60">
        <w:t>agua tuvieron un mayor grado de oscurecimiento que las elaboradas con 50% de etanol. Estos resultados muestran que es posible encapsular AG en una matriz natural, reconocida como segura en las listas de aditivos GRASS, para ser utilizada posteriormente en el desarrollo de alimentos funcionales.</w:t>
      </w:r>
    </w:p>
    <w:p w14:paraId="39C81672" w14:textId="77777777" w:rsidR="00DA1E04" w:rsidRPr="00886E60" w:rsidRDefault="00DA1E04" w:rsidP="009E42FF">
      <w:pPr>
        <w:spacing w:after="0" w:line="240" w:lineRule="auto"/>
        <w:ind w:leftChars="0" w:firstLineChars="0" w:firstLine="0"/>
      </w:pPr>
    </w:p>
    <w:p w14:paraId="362B1123" w14:textId="50A6AD86" w:rsidR="00560A35" w:rsidRPr="00886E60" w:rsidRDefault="00560A35" w:rsidP="009E42FF">
      <w:pPr>
        <w:spacing w:after="0" w:line="240" w:lineRule="auto"/>
        <w:ind w:left="0" w:hanging="2"/>
      </w:pPr>
      <w:r w:rsidRPr="00886E60">
        <w:t>Palabras clave:</w:t>
      </w:r>
      <w:r w:rsidR="005A664A" w:rsidRPr="00886E60">
        <w:t xml:space="preserve"> </w:t>
      </w:r>
      <w:r w:rsidR="00DC6B85" w:rsidRPr="00886E60">
        <w:t>Ácido gálico</w:t>
      </w:r>
      <w:r w:rsidRPr="00886E60">
        <w:t xml:space="preserve">, </w:t>
      </w:r>
      <w:r w:rsidR="005A664A" w:rsidRPr="00886E60">
        <w:t>microencapsulación</w:t>
      </w:r>
      <w:r w:rsidRPr="00886E60">
        <w:t xml:space="preserve">, </w:t>
      </w:r>
      <w:proofErr w:type="spellStart"/>
      <w:r w:rsidR="005A664A" w:rsidRPr="009E42FF">
        <w:rPr>
          <w:i/>
          <w:iCs/>
        </w:rPr>
        <w:t>Sac</w:t>
      </w:r>
      <w:r w:rsidR="00BB1585" w:rsidRPr="009E42FF">
        <w:rPr>
          <w:i/>
          <w:iCs/>
        </w:rPr>
        <w:t>c</w:t>
      </w:r>
      <w:r w:rsidR="005A664A" w:rsidRPr="009E42FF">
        <w:rPr>
          <w:i/>
          <w:iCs/>
        </w:rPr>
        <w:t>haromyces</w:t>
      </w:r>
      <w:proofErr w:type="spellEnd"/>
      <w:r w:rsidR="005A664A" w:rsidRPr="009E42FF">
        <w:rPr>
          <w:i/>
          <w:iCs/>
        </w:rPr>
        <w:t xml:space="preserve"> </w:t>
      </w:r>
      <w:proofErr w:type="spellStart"/>
      <w:r w:rsidR="005A664A" w:rsidRPr="009E42FF">
        <w:rPr>
          <w:i/>
          <w:iCs/>
        </w:rPr>
        <w:t>cerevisiae</w:t>
      </w:r>
      <w:proofErr w:type="spellEnd"/>
      <w:r w:rsidR="005A664A" w:rsidRPr="00886E60">
        <w:t>.</w:t>
      </w:r>
    </w:p>
    <w:p w14:paraId="2D3D3EA9" w14:textId="77777777" w:rsidR="00560A35" w:rsidRPr="00886E60" w:rsidRDefault="00560A35" w:rsidP="0065226B">
      <w:pPr>
        <w:spacing w:after="0" w:line="240" w:lineRule="auto"/>
        <w:ind w:left="0" w:hanging="2"/>
        <w:rPr>
          <w:rFonts w:ascii="Times New Roman" w:hAnsi="Times New Roman" w:cs="Times New Roman"/>
        </w:rPr>
      </w:pPr>
    </w:p>
    <w:p w14:paraId="4C11D367" w14:textId="77777777" w:rsidR="00DA1E04" w:rsidRDefault="00DA1E04" w:rsidP="00E8106D">
      <w:pPr>
        <w:spacing w:after="0" w:line="240" w:lineRule="auto"/>
        <w:ind w:left="0" w:hanging="2"/>
      </w:pPr>
    </w:p>
    <w:p w14:paraId="62E7F4E7" w14:textId="77777777" w:rsidR="00DA1E04" w:rsidRDefault="00DA1E04" w:rsidP="00E8106D">
      <w:pPr>
        <w:spacing w:after="0" w:line="240" w:lineRule="auto"/>
        <w:ind w:left="0" w:hanging="2"/>
      </w:pPr>
    </w:p>
    <w:sectPr w:rsidR="00DA1E04">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C1AB" w14:textId="77777777" w:rsidR="009E401C" w:rsidRDefault="009E401C">
      <w:pPr>
        <w:spacing w:after="0" w:line="240" w:lineRule="auto"/>
        <w:ind w:left="0" w:hanging="2"/>
      </w:pPr>
      <w:r>
        <w:separator/>
      </w:r>
    </w:p>
  </w:endnote>
  <w:endnote w:type="continuationSeparator" w:id="0">
    <w:p w14:paraId="6FFE2F1B" w14:textId="77777777" w:rsidR="009E401C" w:rsidRDefault="009E40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BD54" w14:textId="77777777" w:rsidR="002128AE" w:rsidRDefault="002128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945" w14:textId="77777777" w:rsidR="002128AE" w:rsidRDefault="002128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BC5" w14:textId="77777777" w:rsidR="002128AE" w:rsidRDefault="002128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11C5" w14:textId="77777777" w:rsidR="009E401C" w:rsidRDefault="009E401C">
      <w:pPr>
        <w:spacing w:after="0" w:line="240" w:lineRule="auto"/>
        <w:ind w:left="0" w:hanging="2"/>
      </w:pPr>
      <w:r>
        <w:separator/>
      </w:r>
    </w:p>
  </w:footnote>
  <w:footnote w:type="continuationSeparator" w:id="0">
    <w:p w14:paraId="5F51E725" w14:textId="77777777" w:rsidR="009E401C" w:rsidRDefault="009E40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059" w14:textId="77777777" w:rsidR="002128AE" w:rsidRDefault="002128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D83" w14:textId="77777777" w:rsidR="00DA1E04" w:rsidRDefault="008B61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6954FCC" wp14:editId="192324A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546" w14:textId="77777777" w:rsidR="002128AE" w:rsidRDefault="002128A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23B"/>
    <w:multiLevelType w:val="hybridMultilevel"/>
    <w:tmpl w:val="3968D6D4"/>
    <w:lvl w:ilvl="0" w:tplc="3D728EA0">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80292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4"/>
    <w:rsid w:val="000040BC"/>
    <w:rsid w:val="00032AD3"/>
    <w:rsid w:val="000827E6"/>
    <w:rsid w:val="00086E1A"/>
    <w:rsid w:val="00090190"/>
    <w:rsid w:val="000E6B80"/>
    <w:rsid w:val="00107921"/>
    <w:rsid w:val="00122A3A"/>
    <w:rsid w:val="001234C7"/>
    <w:rsid w:val="00131571"/>
    <w:rsid w:val="00150E27"/>
    <w:rsid w:val="001E028B"/>
    <w:rsid w:val="001F3F12"/>
    <w:rsid w:val="002128AE"/>
    <w:rsid w:val="00222C51"/>
    <w:rsid w:val="002459B7"/>
    <w:rsid w:val="00286BB7"/>
    <w:rsid w:val="00293D90"/>
    <w:rsid w:val="002A7D87"/>
    <w:rsid w:val="002E04A8"/>
    <w:rsid w:val="00367A22"/>
    <w:rsid w:val="00482A92"/>
    <w:rsid w:val="004B75D6"/>
    <w:rsid w:val="004C355A"/>
    <w:rsid w:val="00523886"/>
    <w:rsid w:val="00527FB7"/>
    <w:rsid w:val="00531AB3"/>
    <w:rsid w:val="00560A35"/>
    <w:rsid w:val="005A664A"/>
    <w:rsid w:val="005C6D38"/>
    <w:rsid w:val="0065226B"/>
    <w:rsid w:val="00681AFD"/>
    <w:rsid w:val="00703A09"/>
    <w:rsid w:val="007227FE"/>
    <w:rsid w:val="0073650D"/>
    <w:rsid w:val="007653F9"/>
    <w:rsid w:val="007766DC"/>
    <w:rsid w:val="007D2263"/>
    <w:rsid w:val="00862E0B"/>
    <w:rsid w:val="00886E60"/>
    <w:rsid w:val="008A471A"/>
    <w:rsid w:val="008B6112"/>
    <w:rsid w:val="008E0CF7"/>
    <w:rsid w:val="008E38A2"/>
    <w:rsid w:val="008F4FB1"/>
    <w:rsid w:val="00991F31"/>
    <w:rsid w:val="009C2261"/>
    <w:rsid w:val="009E3E8B"/>
    <w:rsid w:val="009E401C"/>
    <w:rsid w:val="009E42FF"/>
    <w:rsid w:val="009F4FCA"/>
    <w:rsid w:val="009F68F1"/>
    <w:rsid w:val="00A43754"/>
    <w:rsid w:val="00A45738"/>
    <w:rsid w:val="00B42D02"/>
    <w:rsid w:val="00B47EBB"/>
    <w:rsid w:val="00B669BE"/>
    <w:rsid w:val="00B852C1"/>
    <w:rsid w:val="00BB1585"/>
    <w:rsid w:val="00BB4DA2"/>
    <w:rsid w:val="00C24E33"/>
    <w:rsid w:val="00C501AD"/>
    <w:rsid w:val="00C91823"/>
    <w:rsid w:val="00CB4094"/>
    <w:rsid w:val="00CC7CCD"/>
    <w:rsid w:val="00CF7B86"/>
    <w:rsid w:val="00D52DDF"/>
    <w:rsid w:val="00DA1E04"/>
    <w:rsid w:val="00DC1AAA"/>
    <w:rsid w:val="00DC6B85"/>
    <w:rsid w:val="00DD3C66"/>
    <w:rsid w:val="00DE6FA1"/>
    <w:rsid w:val="00E11D3E"/>
    <w:rsid w:val="00E63467"/>
    <w:rsid w:val="00E66C75"/>
    <w:rsid w:val="00E74F8F"/>
    <w:rsid w:val="00E8106D"/>
    <w:rsid w:val="00ED1451"/>
    <w:rsid w:val="00ED261B"/>
    <w:rsid w:val="00ED57D0"/>
    <w:rsid w:val="00F14241"/>
    <w:rsid w:val="00F51E82"/>
    <w:rsid w:val="00FB765E"/>
    <w:rsid w:val="00FD1E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05C"/>
  <w15:docId w15:val="{048003CA-BCAC-4F56-AC5C-7B04148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63467"/>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 w:type="paragraph" w:styleId="Prrafodelista">
    <w:name w:val="List Paragraph"/>
    <w:basedOn w:val="Normal"/>
    <w:uiPriority w:val="34"/>
    <w:qFormat/>
    <w:rsid w:val="00E63467"/>
    <w:pPr>
      <w:ind w:left="720"/>
      <w:contextualSpacing/>
    </w:pPr>
  </w:style>
  <w:style w:type="character" w:customStyle="1" w:styleId="Mencinsinresolver1">
    <w:name w:val="Mención sin resolver1"/>
    <w:basedOn w:val="Fuentedeprrafopredeter"/>
    <w:uiPriority w:val="99"/>
    <w:semiHidden/>
    <w:unhideWhenUsed/>
    <w:rsid w:val="00293D90"/>
    <w:rPr>
      <w:color w:val="605E5C"/>
      <w:shd w:val="clear" w:color="auto" w:fill="E1DFDD"/>
    </w:rPr>
  </w:style>
  <w:style w:type="character" w:styleId="Hipervnculovisitado">
    <w:name w:val="FollowedHyperlink"/>
    <w:basedOn w:val="Fuentedeprrafopredeter"/>
    <w:uiPriority w:val="99"/>
    <w:semiHidden/>
    <w:unhideWhenUsed/>
    <w:rsid w:val="00E66C75"/>
    <w:rPr>
      <w:color w:val="800080" w:themeColor="followedHyperlink"/>
      <w:u w:val="single"/>
    </w:rPr>
  </w:style>
  <w:style w:type="paragraph" w:styleId="Revisin">
    <w:name w:val="Revision"/>
    <w:hidden/>
    <w:uiPriority w:val="99"/>
    <w:semiHidden/>
    <w:rsid w:val="009F68F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2459B7"/>
    <w:rPr>
      <w:sz w:val="16"/>
      <w:szCs w:val="16"/>
    </w:rPr>
  </w:style>
  <w:style w:type="paragraph" w:styleId="Textocomentario">
    <w:name w:val="annotation text"/>
    <w:basedOn w:val="Normal"/>
    <w:link w:val="TextocomentarioCar"/>
    <w:uiPriority w:val="99"/>
    <w:semiHidden/>
    <w:unhideWhenUsed/>
    <w:rsid w:val="002459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59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459B7"/>
    <w:rPr>
      <w:b/>
      <w:bCs/>
    </w:rPr>
  </w:style>
  <w:style w:type="character" w:customStyle="1" w:styleId="AsuntodelcomentarioCar">
    <w:name w:val="Asunto del comentario Car"/>
    <w:basedOn w:val="TextocomentarioCar"/>
    <w:link w:val="Asuntodelcomentario"/>
    <w:uiPriority w:val="99"/>
    <w:semiHidden/>
    <w:rsid w:val="002459B7"/>
    <w:rPr>
      <w:b/>
      <w:bCs/>
      <w:position w:val="-1"/>
      <w:sz w:val="20"/>
      <w:szCs w:val="20"/>
      <w:lang w:eastAsia="en-US"/>
    </w:rPr>
  </w:style>
  <w:style w:type="character" w:styleId="Mencinsinresolver">
    <w:name w:val="Unresolved Mention"/>
    <w:basedOn w:val="Fuentedeprrafopredeter"/>
    <w:uiPriority w:val="99"/>
    <w:semiHidden/>
    <w:unhideWhenUsed/>
    <w:rsid w:val="00FD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7822">
      <w:bodyDiv w:val="1"/>
      <w:marLeft w:val="0"/>
      <w:marRight w:val="0"/>
      <w:marTop w:val="0"/>
      <w:marBottom w:val="0"/>
      <w:divBdr>
        <w:top w:val="none" w:sz="0" w:space="0" w:color="auto"/>
        <w:left w:val="none" w:sz="0" w:space="0" w:color="auto"/>
        <w:bottom w:val="none" w:sz="0" w:space="0" w:color="auto"/>
        <w:right w:val="none" w:sz="0" w:space="0" w:color="auto"/>
      </w:divBdr>
    </w:div>
    <w:div w:id="14857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anton@agro.unc.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5</cp:revision>
  <dcterms:created xsi:type="dcterms:W3CDTF">2022-07-01T13:32:00Z</dcterms:created>
  <dcterms:modified xsi:type="dcterms:W3CDTF">2022-08-01T16:14:00Z</dcterms:modified>
</cp:coreProperties>
</file>