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3EA0" w14:textId="27960E46" w:rsidR="003B7830" w:rsidRPr="003B7830" w:rsidRDefault="003B7830" w:rsidP="003B7830">
      <w:pPr>
        <w:suppressAutoHyphens w:val="0"/>
        <w:spacing w:after="160" w:line="259" w:lineRule="auto"/>
        <w:ind w:leftChars="0" w:left="0" w:firstLineChars="0" w:firstLine="0"/>
        <w:jc w:val="center"/>
        <w:textDirection w:val="lrTb"/>
        <w:textAlignment w:val="auto"/>
        <w:outlineLvl w:val="9"/>
        <w:rPr>
          <w:rFonts w:eastAsia="Calibri"/>
          <w:b/>
          <w:bCs/>
          <w:position w:val="0"/>
        </w:rPr>
      </w:pPr>
      <w:r w:rsidRPr="003B7830">
        <w:rPr>
          <w:rFonts w:eastAsia="Calibri"/>
          <w:b/>
          <w:bCs/>
          <w:position w:val="0"/>
        </w:rPr>
        <w:t xml:space="preserve">Polisacáridos insolubles de soja como agentes emulsificantes en emulsiones </w:t>
      </w:r>
      <w:r w:rsidR="00CE21FF">
        <w:rPr>
          <w:rFonts w:eastAsia="Calibri"/>
          <w:b/>
          <w:bCs/>
          <w:position w:val="0"/>
        </w:rPr>
        <w:t>ácida</w:t>
      </w:r>
      <w:r w:rsidRPr="003B7830">
        <w:rPr>
          <w:rFonts w:eastAsia="Calibri"/>
          <w:b/>
          <w:bCs/>
          <w:position w:val="0"/>
        </w:rPr>
        <w:t>s O/W</w:t>
      </w:r>
    </w:p>
    <w:p w14:paraId="079D54ED" w14:textId="7958AE01" w:rsidR="003B7830" w:rsidRPr="003B7830" w:rsidRDefault="003B7830" w:rsidP="00E476C0">
      <w:pPr>
        <w:suppressAutoHyphens w:val="0"/>
        <w:spacing w:after="160" w:line="259" w:lineRule="auto"/>
        <w:ind w:leftChars="0" w:left="0" w:firstLineChars="0" w:firstLine="0"/>
        <w:jc w:val="center"/>
        <w:textDirection w:val="lrTb"/>
        <w:textAlignment w:val="auto"/>
        <w:outlineLvl w:val="9"/>
        <w:rPr>
          <w:rFonts w:eastAsia="Calibri"/>
          <w:position w:val="0"/>
        </w:rPr>
      </w:pPr>
      <w:r w:rsidRPr="003B7830">
        <w:rPr>
          <w:rFonts w:eastAsia="Calibri"/>
          <w:position w:val="0"/>
        </w:rPr>
        <w:t>Moscoso Ospina YA (1,2), Porfiri MC (1,2), Cabezas DM (1,2)</w:t>
      </w:r>
    </w:p>
    <w:p w14:paraId="4B077D2F" w14:textId="77777777" w:rsidR="00ED4914" w:rsidRDefault="00ED4914" w:rsidP="00E476C0">
      <w:pPr>
        <w:spacing w:after="0" w:line="240" w:lineRule="auto"/>
        <w:ind w:left="0" w:hanging="2"/>
      </w:pPr>
      <w:r>
        <w:t>(1) Laboratorio de Investigación en Funcionalidad y Tecnología de Alimentos (LIFTA), Departamento de Ciencia y Tecnología, Universidad Nacional de Quilmes, Bernal, Buenos Aires, Argentina.</w:t>
      </w:r>
    </w:p>
    <w:p w14:paraId="795A42D2" w14:textId="77777777" w:rsidR="00ED4914" w:rsidRDefault="00ED4914" w:rsidP="00E476C0">
      <w:pPr>
        <w:spacing w:after="0" w:line="240" w:lineRule="auto"/>
        <w:ind w:left="0" w:hanging="2"/>
      </w:pPr>
      <w:r>
        <w:t>(2) Consejo Nacional de Investigaciones Científicas y Técnicas (CONICET), Ciudad Autónoma de Buenos Aires, Buenos Aires, Argentina.</w:t>
      </w:r>
    </w:p>
    <w:p w14:paraId="3B269537" w14:textId="77777777" w:rsidR="00E476C0" w:rsidRDefault="00E476C0" w:rsidP="00E476C0">
      <w:pPr>
        <w:suppressAutoHyphens w:val="0"/>
        <w:spacing w:after="0" w:line="240" w:lineRule="auto"/>
        <w:ind w:leftChars="0" w:firstLineChars="0" w:firstLine="0"/>
        <w:jc w:val="left"/>
        <w:textDirection w:val="lrTb"/>
        <w:textAlignment w:val="auto"/>
        <w:outlineLvl w:val="9"/>
        <w:rPr>
          <w:rFonts w:eastAsia="Calibri"/>
          <w:position w:val="0"/>
        </w:rPr>
      </w:pPr>
    </w:p>
    <w:p w14:paraId="7A739914" w14:textId="1BAF9CFF" w:rsidR="003B7830" w:rsidRDefault="00E476C0" w:rsidP="00E476C0">
      <w:pPr>
        <w:suppressAutoHyphens w:val="0"/>
        <w:spacing w:after="0" w:line="240" w:lineRule="auto"/>
        <w:ind w:leftChars="0" w:firstLineChars="0" w:firstLine="0"/>
        <w:jc w:val="left"/>
        <w:textDirection w:val="lrTb"/>
        <w:textAlignment w:val="auto"/>
        <w:outlineLvl w:val="9"/>
        <w:rPr>
          <w:rFonts w:eastAsia="Calibri"/>
          <w:position w:val="0"/>
        </w:rPr>
      </w:pPr>
      <w:r>
        <w:rPr>
          <w:rFonts w:eastAsia="Calibri"/>
          <w:position w:val="0"/>
        </w:rPr>
        <w:t xml:space="preserve">Dirección de e-mail: </w:t>
      </w:r>
      <w:hyperlink r:id="rId8" w:history="1">
        <w:r w:rsidRPr="008701E4">
          <w:rPr>
            <w:rStyle w:val="Hipervnculo"/>
            <w:rFonts w:eastAsia="Calibri"/>
            <w:position w:val="0"/>
          </w:rPr>
          <w:t>dario.cabezas@unq.edu.ar</w:t>
        </w:r>
      </w:hyperlink>
    </w:p>
    <w:p w14:paraId="1B68B9E1" w14:textId="77777777" w:rsidR="00E476C0" w:rsidRDefault="00E476C0" w:rsidP="00E476C0">
      <w:pPr>
        <w:suppressAutoHyphens w:val="0"/>
        <w:spacing w:after="0" w:line="240" w:lineRule="auto"/>
        <w:ind w:leftChars="0" w:firstLineChars="0" w:firstLine="0"/>
        <w:textDirection w:val="lrTb"/>
        <w:textAlignment w:val="auto"/>
        <w:outlineLvl w:val="9"/>
        <w:rPr>
          <w:rFonts w:eastAsia="Calibri"/>
          <w:position w:val="0"/>
        </w:rPr>
      </w:pPr>
    </w:p>
    <w:p w14:paraId="7330DFDB" w14:textId="76A72B00" w:rsidR="003B7830" w:rsidRPr="003B7830" w:rsidRDefault="003B7830" w:rsidP="00E476C0">
      <w:pPr>
        <w:suppressAutoHyphens w:val="0"/>
        <w:spacing w:after="0" w:line="240" w:lineRule="auto"/>
        <w:ind w:leftChars="0" w:firstLineChars="0" w:firstLine="0"/>
        <w:textDirection w:val="lrTb"/>
        <w:textAlignment w:val="auto"/>
        <w:outlineLvl w:val="9"/>
        <w:rPr>
          <w:rFonts w:eastAsia="Calibri"/>
          <w:position w:val="0"/>
        </w:rPr>
      </w:pPr>
      <w:r w:rsidRPr="003B7830">
        <w:rPr>
          <w:rFonts w:eastAsia="Calibri"/>
          <w:position w:val="0"/>
        </w:rPr>
        <w:t xml:space="preserve">El objetivo de este trabajo fue obtener diferentes fracciones de polisacáridos insolubles de soja ISPS como agentes emulsificantes en emulsiones </w:t>
      </w:r>
      <w:r w:rsidR="00CE21FF">
        <w:rPr>
          <w:rFonts w:eastAsia="Calibri"/>
          <w:position w:val="0"/>
        </w:rPr>
        <w:t>á</w:t>
      </w:r>
      <w:r w:rsidRPr="003B7830">
        <w:rPr>
          <w:rFonts w:eastAsia="Calibri"/>
          <w:position w:val="0"/>
        </w:rPr>
        <w:t xml:space="preserve">cidas O/W. Estas fracciones se obtuvieron en condiciones </w:t>
      </w:r>
      <w:r w:rsidR="00CE21FF">
        <w:rPr>
          <w:rFonts w:eastAsia="Calibri"/>
          <w:position w:val="0"/>
        </w:rPr>
        <w:t>á</w:t>
      </w:r>
      <w:r w:rsidRPr="003B7830">
        <w:rPr>
          <w:rFonts w:eastAsia="Calibri"/>
          <w:position w:val="0"/>
        </w:rPr>
        <w:t xml:space="preserve">cidas (pH 3.0, 120°C, </w:t>
      </w:r>
      <w:r w:rsidR="00337E7C">
        <w:rPr>
          <w:rFonts w:eastAsia="Calibri"/>
          <w:position w:val="0"/>
        </w:rPr>
        <w:t>90 min</w:t>
      </w:r>
      <w:r w:rsidRPr="003B7830">
        <w:rPr>
          <w:rFonts w:eastAsia="Calibri"/>
          <w:position w:val="0"/>
        </w:rPr>
        <w:t>), después de la extracción alcalina de diferentes fracciones de okara a pH 9</w:t>
      </w:r>
      <w:r w:rsidR="007D3408">
        <w:rPr>
          <w:rFonts w:eastAsia="Calibri"/>
          <w:position w:val="0"/>
        </w:rPr>
        <w:t xml:space="preserve"> (</w:t>
      </w:r>
      <w:r w:rsidRPr="003B7830">
        <w:rPr>
          <w:rFonts w:eastAsia="Calibri"/>
          <w:position w:val="0"/>
        </w:rPr>
        <w:t>65°C, 35 min</w:t>
      </w:r>
      <w:r w:rsidR="00337E7C" w:rsidRPr="003B7830">
        <w:rPr>
          <w:rFonts w:eastAsia="Calibri"/>
          <w:position w:val="0"/>
        </w:rPr>
        <w:t>)</w:t>
      </w:r>
      <w:r w:rsidR="00337E7C">
        <w:rPr>
          <w:rFonts w:eastAsia="Calibri"/>
          <w:position w:val="0"/>
        </w:rPr>
        <w:t xml:space="preserve"> sin sonicar (</w:t>
      </w:r>
      <w:r w:rsidR="004E76EC">
        <w:rPr>
          <w:rFonts w:eastAsia="Calibri"/>
          <w:position w:val="0"/>
        </w:rPr>
        <w:t xml:space="preserve">Fracción </w:t>
      </w:r>
      <w:r w:rsidR="00337E7C">
        <w:rPr>
          <w:rFonts w:eastAsia="Calibri"/>
          <w:position w:val="0"/>
        </w:rPr>
        <w:t>ISPS</w:t>
      </w:r>
      <w:r w:rsidR="004E76EC">
        <w:rPr>
          <w:rFonts w:eastAsia="Calibri"/>
          <w:position w:val="0"/>
        </w:rPr>
        <w:t xml:space="preserve">, </w:t>
      </w:r>
      <w:r w:rsidR="004E76EC" w:rsidRPr="003B7830">
        <w:rPr>
          <w:rFonts w:eastAsia="Calibri"/>
          <w:position w:val="0"/>
        </w:rPr>
        <w:t xml:space="preserve">proteínas: </w:t>
      </w:r>
      <w:r w:rsidR="004E76EC">
        <w:rPr>
          <w:rFonts w:eastAsia="Calibri"/>
          <w:position w:val="0"/>
        </w:rPr>
        <w:t>41.0</w:t>
      </w:r>
      <w:r w:rsidR="004E76EC" w:rsidRPr="003B7830">
        <w:rPr>
          <w:rFonts w:eastAsia="Calibri"/>
          <w:position w:val="0"/>
        </w:rPr>
        <w:t>%</w:t>
      </w:r>
      <w:r w:rsidR="00337E7C">
        <w:rPr>
          <w:rFonts w:eastAsia="Calibri"/>
          <w:position w:val="0"/>
        </w:rPr>
        <w:t>) o utilizando</w:t>
      </w:r>
      <w:r w:rsidR="00337E7C" w:rsidRPr="003B7830">
        <w:rPr>
          <w:rFonts w:eastAsia="Calibri"/>
          <w:position w:val="0"/>
        </w:rPr>
        <w:t xml:space="preserve"> </w:t>
      </w:r>
      <w:r w:rsidRPr="003B7830">
        <w:rPr>
          <w:rFonts w:eastAsia="Calibri"/>
          <w:position w:val="0"/>
        </w:rPr>
        <w:t xml:space="preserve">dos procesos diferentes de ultrasonido </w:t>
      </w:r>
      <w:r w:rsidR="00337E7C">
        <w:rPr>
          <w:rFonts w:eastAsia="Calibri"/>
          <w:position w:val="0"/>
        </w:rPr>
        <w:t>(</w:t>
      </w:r>
      <w:r w:rsidRPr="003B7830">
        <w:rPr>
          <w:rFonts w:eastAsia="Calibri"/>
          <w:position w:val="0"/>
        </w:rPr>
        <w:t xml:space="preserve">Sonics Vibracell, 75% de potencia, 10 min): </w:t>
      </w:r>
      <w:r w:rsidR="00337E7C" w:rsidRPr="003B7830">
        <w:rPr>
          <w:rFonts w:eastAsia="Calibri"/>
          <w:position w:val="0"/>
        </w:rPr>
        <w:t xml:space="preserve">pre extracción alcalina </w:t>
      </w:r>
      <w:r w:rsidRPr="003B7830">
        <w:rPr>
          <w:rFonts w:eastAsia="Calibri"/>
          <w:position w:val="0"/>
        </w:rPr>
        <w:t xml:space="preserve">generando la fracción S-ISPS (proteínas: 55.5%) </w:t>
      </w:r>
      <w:r w:rsidR="004E76EC">
        <w:rPr>
          <w:rFonts w:eastAsia="Calibri"/>
          <w:position w:val="0"/>
        </w:rPr>
        <w:t>o</w:t>
      </w:r>
      <w:r w:rsidRPr="003B7830">
        <w:rPr>
          <w:rFonts w:eastAsia="Calibri"/>
          <w:position w:val="0"/>
        </w:rPr>
        <w:t xml:space="preserve"> </w:t>
      </w:r>
      <w:r w:rsidR="004E76EC" w:rsidRPr="003B7830">
        <w:rPr>
          <w:rFonts w:eastAsia="Calibri"/>
          <w:position w:val="0"/>
        </w:rPr>
        <w:t>pos</w:t>
      </w:r>
      <w:r w:rsidR="0005623C">
        <w:rPr>
          <w:rFonts w:eastAsia="Calibri"/>
          <w:position w:val="0"/>
        </w:rPr>
        <w:t>t</w:t>
      </w:r>
      <w:r w:rsidR="004E76EC" w:rsidRPr="003B7830">
        <w:rPr>
          <w:rFonts w:eastAsia="Calibri"/>
          <w:position w:val="0"/>
        </w:rPr>
        <w:t xml:space="preserve"> extracción alcalina </w:t>
      </w:r>
      <w:r w:rsidR="004E76EC">
        <w:rPr>
          <w:rFonts w:eastAsia="Calibri"/>
          <w:position w:val="0"/>
        </w:rPr>
        <w:t xml:space="preserve">obteniendo </w:t>
      </w:r>
      <w:r w:rsidRPr="003B7830">
        <w:rPr>
          <w:rFonts w:eastAsia="Calibri"/>
          <w:position w:val="0"/>
        </w:rPr>
        <w:t xml:space="preserve">la fracción ISPS-S (proteínas: 34.2%). </w:t>
      </w:r>
      <w:r w:rsidR="00337E7C">
        <w:rPr>
          <w:rFonts w:eastAsia="Calibri"/>
          <w:position w:val="0"/>
        </w:rPr>
        <w:t xml:space="preserve">Las tres fracciones </w:t>
      </w:r>
      <w:r w:rsidRPr="003B7830">
        <w:rPr>
          <w:rFonts w:eastAsia="Calibri"/>
          <w:position w:val="0"/>
        </w:rPr>
        <w:t xml:space="preserve">se dispersaron al 1 y 2% p/p en buffer citrato 10 mM y 0.03% de azida sódica, ajustando el pH a 3.0 y 4.5. </w:t>
      </w:r>
      <w:r w:rsidR="00EF03F3">
        <w:rPr>
          <w:rFonts w:eastAsia="Calibri"/>
          <w:position w:val="0"/>
        </w:rPr>
        <w:t>E</w:t>
      </w:r>
      <w:r w:rsidRPr="003B7830">
        <w:rPr>
          <w:rFonts w:eastAsia="Calibri"/>
          <w:position w:val="0"/>
        </w:rPr>
        <w:t>stas dispersiones fueron utilizadas como fase acuosa en la preparación de emulsiones (O/W, Фm:0.3) en 2 etapas</w:t>
      </w:r>
      <w:r w:rsidR="004E76EC">
        <w:rPr>
          <w:rFonts w:eastAsia="Calibri"/>
          <w:position w:val="0"/>
        </w:rPr>
        <w:t>. Primero, s</w:t>
      </w:r>
      <w:r w:rsidRPr="003B7830">
        <w:rPr>
          <w:rFonts w:eastAsia="Calibri"/>
          <w:position w:val="0"/>
        </w:rPr>
        <w:t xml:space="preserve">e utilizó un agitador tipo rotor estator (Ultraturrax, 20.000rpm, 2min) generando </w:t>
      </w:r>
      <w:r w:rsidR="004E76EC">
        <w:rPr>
          <w:rFonts w:eastAsia="Calibri"/>
          <w:position w:val="0"/>
        </w:rPr>
        <w:t xml:space="preserve">las </w:t>
      </w:r>
      <w:r w:rsidRPr="003B7830">
        <w:rPr>
          <w:rFonts w:eastAsia="Calibri"/>
          <w:position w:val="0"/>
        </w:rPr>
        <w:t xml:space="preserve">emulsiones </w:t>
      </w:r>
      <w:r w:rsidR="004E76EC">
        <w:rPr>
          <w:rFonts w:eastAsia="Calibri"/>
          <w:position w:val="0"/>
        </w:rPr>
        <w:t xml:space="preserve">gruesas y luego se sonicaron </w:t>
      </w:r>
      <w:r w:rsidRPr="003B7830">
        <w:rPr>
          <w:rFonts w:eastAsia="Calibri"/>
          <w:position w:val="0"/>
        </w:rPr>
        <w:t xml:space="preserve">(75% potencia, 2 minutos) formando </w:t>
      </w:r>
      <w:r w:rsidR="004E76EC">
        <w:rPr>
          <w:rFonts w:eastAsia="Calibri"/>
          <w:position w:val="0"/>
        </w:rPr>
        <w:t xml:space="preserve">las </w:t>
      </w:r>
      <w:r w:rsidRPr="003B7830">
        <w:rPr>
          <w:rFonts w:eastAsia="Calibri"/>
          <w:position w:val="0"/>
        </w:rPr>
        <w:t xml:space="preserve">emulsiones finas. El contenido de proteína soluble se determinó usando el método espectrofotométrico de Lowry modificado usando BSA como proteína estándar. La estabilidad global de las emulsiones se determinó por dispersión de luz en un analizador vertical de Turbiscan </w:t>
      </w:r>
      <w:r w:rsidR="004E76EC">
        <w:rPr>
          <w:rFonts w:eastAsia="Calibri"/>
          <w:position w:val="0"/>
        </w:rPr>
        <w:t>L</w:t>
      </w:r>
      <w:r w:rsidRPr="003B7830">
        <w:rPr>
          <w:rFonts w:eastAsia="Calibri"/>
          <w:position w:val="0"/>
        </w:rPr>
        <w:t xml:space="preserve">ab (Formulaction, Francia) a una longitud de onda (λ=850 nm) en celdas cilíndricas (80 mm), se registraron los valores de </w:t>
      </w:r>
      <w:r w:rsidR="004E76EC">
        <w:rPr>
          <w:rFonts w:eastAsia="Calibri"/>
          <w:position w:val="0"/>
        </w:rPr>
        <w:t>b</w:t>
      </w:r>
      <w:r w:rsidR="004E76EC" w:rsidRPr="003B7830">
        <w:rPr>
          <w:rFonts w:eastAsia="Calibri"/>
          <w:position w:val="0"/>
        </w:rPr>
        <w:t xml:space="preserve">ackscattering </w:t>
      </w:r>
      <w:r w:rsidRPr="003B7830">
        <w:rPr>
          <w:rFonts w:eastAsia="Calibri"/>
          <w:position w:val="0"/>
        </w:rPr>
        <w:t xml:space="preserve">(BS%) y transmitancia (T%). la distribución de tamaño de partícula DTP </w:t>
      </w:r>
      <w:r w:rsidR="004E76EC">
        <w:rPr>
          <w:rFonts w:eastAsia="Calibri"/>
          <w:position w:val="0"/>
        </w:rPr>
        <w:t xml:space="preserve">se realizaron </w:t>
      </w:r>
      <w:r w:rsidRPr="003B7830">
        <w:rPr>
          <w:rFonts w:eastAsia="Calibri"/>
          <w:position w:val="0"/>
        </w:rPr>
        <w:t xml:space="preserve">en un analizador Malvern Mastersizer 2000-E (Malvern intruments, Reino Unido), con índices de refracción de la fase dispersante 1.33 y de la fase dispersa 1.52, a partir de esto se obtuvieron los diámetros promedios de De Brouckere D [4,3]. Las emulsiones finas fueron almacenadas a temperatura ambiente durante 28 días. Todas las emulsiones independientemente del valor del pH presentaron una disminución del tamaño de partícula al aumentar del 1 al 2% </w:t>
      </w:r>
      <w:r w:rsidR="004E76EC">
        <w:rPr>
          <w:rFonts w:eastAsia="Calibri"/>
          <w:position w:val="0"/>
        </w:rPr>
        <w:t>el contenido de</w:t>
      </w:r>
      <w:r w:rsidR="004E76EC" w:rsidRPr="003B7830">
        <w:rPr>
          <w:rFonts w:eastAsia="Calibri"/>
          <w:position w:val="0"/>
        </w:rPr>
        <w:t xml:space="preserve"> </w:t>
      </w:r>
      <w:r w:rsidR="004E76EC">
        <w:rPr>
          <w:rFonts w:eastAsia="Calibri"/>
          <w:position w:val="0"/>
        </w:rPr>
        <w:t xml:space="preserve">las fracciones de </w:t>
      </w:r>
      <w:r w:rsidRPr="003B7830">
        <w:rPr>
          <w:rFonts w:eastAsia="Calibri"/>
          <w:position w:val="0"/>
        </w:rPr>
        <w:t>polisacárido</w:t>
      </w:r>
      <w:r w:rsidR="004E76EC">
        <w:rPr>
          <w:rFonts w:eastAsia="Calibri"/>
          <w:position w:val="0"/>
        </w:rPr>
        <w:t>s</w:t>
      </w:r>
      <w:r w:rsidRPr="003B7830">
        <w:rPr>
          <w:rFonts w:eastAsia="Calibri"/>
          <w:position w:val="0"/>
        </w:rPr>
        <w:t xml:space="preserve">. </w:t>
      </w:r>
      <w:r w:rsidR="006D2F8B">
        <w:rPr>
          <w:rFonts w:eastAsia="Calibri"/>
          <w:position w:val="0"/>
        </w:rPr>
        <w:t xml:space="preserve">A pH 3, </w:t>
      </w:r>
      <w:r w:rsidRPr="003B7830">
        <w:rPr>
          <w:rFonts w:eastAsia="Calibri"/>
          <w:position w:val="0"/>
        </w:rPr>
        <w:t xml:space="preserve">ISPS-S </w:t>
      </w:r>
      <w:r w:rsidR="006D2F8B" w:rsidRPr="003B7830">
        <w:rPr>
          <w:rFonts w:eastAsia="Calibri"/>
          <w:position w:val="0"/>
        </w:rPr>
        <w:t>present</w:t>
      </w:r>
      <w:r w:rsidR="006D2F8B">
        <w:rPr>
          <w:rFonts w:eastAsia="Calibri"/>
          <w:position w:val="0"/>
        </w:rPr>
        <w:t>ó</w:t>
      </w:r>
      <w:r w:rsidR="006D2F8B" w:rsidRPr="003B7830">
        <w:rPr>
          <w:rFonts w:eastAsia="Calibri"/>
          <w:position w:val="0"/>
        </w:rPr>
        <w:t xml:space="preserve"> </w:t>
      </w:r>
      <w:r w:rsidRPr="003B7830">
        <w:rPr>
          <w:rFonts w:eastAsia="Calibri"/>
          <w:position w:val="0"/>
        </w:rPr>
        <w:t>el menor tamaño de partícula</w:t>
      </w:r>
      <w:r w:rsidR="006D2F8B">
        <w:rPr>
          <w:rFonts w:eastAsia="Calibri"/>
          <w:position w:val="0"/>
        </w:rPr>
        <w:t xml:space="preserve"> inicial</w:t>
      </w:r>
      <w:r w:rsidRPr="003B7830">
        <w:rPr>
          <w:rFonts w:eastAsia="Calibri"/>
          <w:position w:val="0"/>
        </w:rPr>
        <w:t xml:space="preserve"> </w:t>
      </w:r>
      <w:r w:rsidR="004E76EC">
        <w:rPr>
          <w:rFonts w:eastAsia="Calibri"/>
          <w:position w:val="0"/>
        </w:rPr>
        <w:t>(</w:t>
      </w:r>
      <w:r w:rsidRPr="003B7830">
        <w:rPr>
          <w:rFonts w:eastAsia="Calibri"/>
          <w:position w:val="0"/>
        </w:rPr>
        <w:t>10µm</w:t>
      </w:r>
      <w:r w:rsidR="004E76EC">
        <w:rPr>
          <w:rFonts w:eastAsia="Calibri"/>
          <w:position w:val="0"/>
        </w:rPr>
        <w:t>)</w:t>
      </w:r>
      <w:r w:rsidRPr="003B7830">
        <w:rPr>
          <w:rFonts w:eastAsia="Calibri"/>
          <w:position w:val="0"/>
        </w:rPr>
        <w:t xml:space="preserve">, </w:t>
      </w:r>
      <w:r w:rsidR="006D2F8B">
        <w:rPr>
          <w:rFonts w:eastAsia="Calibri"/>
          <w:position w:val="0"/>
        </w:rPr>
        <w:t>frente a ISPS (</w:t>
      </w:r>
      <w:r w:rsidRPr="003B7830">
        <w:rPr>
          <w:rFonts w:eastAsia="Calibri"/>
          <w:position w:val="0"/>
        </w:rPr>
        <w:t>25µm</w:t>
      </w:r>
      <w:r w:rsidR="006D2F8B">
        <w:rPr>
          <w:rFonts w:eastAsia="Calibri"/>
          <w:position w:val="0"/>
        </w:rPr>
        <w:t xml:space="preserve">) </w:t>
      </w:r>
      <w:r w:rsidR="00CA2670">
        <w:rPr>
          <w:rFonts w:eastAsia="Calibri"/>
          <w:position w:val="0"/>
        </w:rPr>
        <w:t>e ISPS</w:t>
      </w:r>
      <w:r w:rsidR="006D2F8B" w:rsidRPr="003B7830">
        <w:rPr>
          <w:rFonts w:eastAsia="Calibri"/>
          <w:position w:val="0"/>
        </w:rPr>
        <w:t xml:space="preserve">-S </w:t>
      </w:r>
      <w:r w:rsidR="006D2F8B">
        <w:rPr>
          <w:rFonts w:eastAsia="Calibri"/>
          <w:position w:val="0"/>
        </w:rPr>
        <w:t>(</w:t>
      </w:r>
      <w:r w:rsidRPr="003B7830">
        <w:rPr>
          <w:rFonts w:eastAsia="Calibri"/>
          <w:position w:val="0"/>
        </w:rPr>
        <w:t>30µm</w:t>
      </w:r>
      <w:r w:rsidR="006D2F8B">
        <w:rPr>
          <w:rFonts w:eastAsia="Calibri"/>
          <w:position w:val="0"/>
        </w:rPr>
        <w:t>)</w:t>
      </w:r>
      <w:r w:rsidRPr="003B7830">
        <w:rPr>
          <w:rFonts w:eastAsia="Calibri"/>
          <w:position w:val="0"/>
        </w:rPr>
        <w:t xml:space="preserve"> </w:t>
      </w:r>
      <w:r w:rsidR="006D2F8B">
        <w:rPr>
          <w:rFonts w:eastAsia="Calibri"/>
          <w:position w:val="0"/>
        </w:rPr>
        <w:t>utilizando</w:t>
      </w:r>
      <w:r w:rsidRPr="003B7830">
        <w:rPr>
          <w:rFonts w:eastAsia="Calibri"/>
          <w:position w:val="0"/>
        </w:rPr>
        <w:t xml:space="preserve"> su máxima concentración. En cambio, a pH 4.</w:t>
      </w:r>
      <w:r w:rsidR="006D2F8B" w:rsidRPr="003B7830">
        <w:rPr>
          <w:rFonts w:eastAsia="Calibri"/>
          <w:position w:val="0"/>
        </w:rPr>
        <w:t>5</w:t>
      </w:r>
      <w:r w:rsidR="006D2F8B">
        <w:rPr>
          <w:rFonts w:eastAsia="Calibri"/>
          <w:position w:val="0"/>
        </w:rPr>
        <w:t xml:space="preserve">, </w:t>
      </w:r>
      <w:r w:rsidRPr="003B7830">
        <w:rPr>
          <w:rFonts w:eastAsia="Calibri"/>
          <w:position w:val="0"/>
        </w:rPr>
        <w:t xml:space="preserve">todas las fracciones generaron un </w:t>
      </w:r>
      <w:r w:rsidR="006D2F8B">
        <w:rPr>
          <w:rFonts w:eastAsia="Calibri"/>
          <w:position w:val="0"/>
        </w:rPr>
        <w:t xml:space="preserve">leve </w:t>
      </w:r>
      <w:r w:rsidRPr="003B7830">
        <w:rPr>
          <w:rFonts w:eastAsia="Calibri"/>
          <w:position w:val="0"/>
        </w:rPr>
        <w:t xml:space="preserve">aumento </w:t>
      </w:r>
      <w:r w:rsidR="006D2F8B">
        <w:rPr>
          <w:rFonts w:eastAsia="Calibri"/>
          <w:position w:val="0"/>
        </w:rPr>
        <w:t xml:space="preserve">de este parámetro </w:t>
      </w:r>
      <w:r w:rsidRPr="003B7830">
        <w:rPr>
          <w:rFonts w:eastAsia="Calibri"/>
          <w:position w:val="0"/>
        </w:rPr>
        <w:t xml:space="preserve">de alrededor de 5µm. </w:t>
      </w:r>
      <w:r w:rsidR="006D2F8B">
        <w:rPr>
          <w:rFonts w:eastAsia="Calibri"/>
          <w:position w:val="0"/>
        </w:rPr>
        <w:t>P</w:t>
      </w:r>
      <w:r w:rsidRPr="003B7830">
        <w:rPr>
          <w:rFonts w:eastAsia="Calibri"/>
          <w:position w:val="0"/>
        </w:rPr>
        <w:t xml:space="preserve">or otro lado, </w:t>
      </w:r>
      <w:r w:rsidR="006D2F8B">
        <w:rPr>
          <w:rFonts w:eastAsia="Calibri"/>
          <w:position w:val="0"/>
        </w:rPr>
        <w:t>todas las fracciones estudiadas permitieron la obtención de emulsiones estables frente a los procesos de desestabilización por cremado y/o coalescencia, con valores de BS</w:t>
      </w:r>
      <w:r w:rsidRPr="003B7830">
        <w:rPr>
          <w:rFonts w:eastAsia="Calibri"/>
          <w:position w:val="0"/>
        </w:rPr>
        <w:t xml:space="preserve">% </w:t>
      </w:r>
      <w:r w:rsidR="006D2F8B">
        <w:rPr>
          <w:rFonts w:eastAsia="Calibri"/>
          <w:position w:val="0"/>
        </w:rPr>
        <w:t>mayores al</w:t>
      </w:r>
      <w:r w:rsidR="006D2F8B" w:rsidRPr="003B7830">
        <w:rPr>
          <w:rFonts w:eastAsia="Calibri"/>
          <w:position w:val="0"/>
        </w:rPr>
        <w:t xml:space="preserve"> </w:t>
      </w:r>
      <w:r w:rsidRPr="003B7830">
        <w:rPr>
          <w:rFonts w:eastAsia="Calibri"/>
          <w:position w:val="0"/>
        </w:rPr>
        <w:t>80%</w:t>
      </w:r>
      <w:r w:rsidR="006D2F8B">
        <w:rPr>
          <w:rFonts w:eastAsia="Calibri"/>
          <w:position w:val="0"/>
        </w:rPr>
        <w:t xml:space="preserve">. </w:t>
      </w:r>
      <w:r w:rsidR="003205E8">
        <w:rPr>
          <w:rFonts w:eastAsia="Calibri"/>
          <w:position w:val="0"/>
        </w:rPr>
        <w:t xml:space="preserve">En ambos pH, la fracción </w:t>
      </w:r>
      <w:r w:rsidR="003205E8" w:rsidRPr="003B7830">
        <w:rPr>
          <w:rFonts w:eastAsia="Calibri"/>
          <w:position w:val="0"/>
        </w:rPr>
        <w:t xml:space="preserve">S-ISPS </w:t>
      </w:r>
      <w:r w:rsidR="003205E8">
        <w:rPr>
          <w:rFonts w:eastAsia="Calibri"/>
          <w:position w:val="0"/>
        </w:rPr>
        <w:t>presento un leve aumento de l</w:t>
      </w:r>
      <w:r w:rsidR="003205E8" w:rsidRPr="003B7830">
        <w:rPr>
          <w:rFonts w:eastAsia="Calibri"/>
          <w:position w:val="0"/>
        </w:rPr>
        <w:t xml:space="preserve">a </w:t>
      </w:r>
      <w:r w:rsidRPr="003B7830">
        <w:rPr>
          <w:rFonts w:eastAsia="Calibri"/>
          <w:position w:val="0"/>
        </w:rPr>
        <w:t xml:space="preserve">solubilidad de la </w:t>
      </w:r>
      <w:r w:rsidR="003205E8" w:rsidRPr="003B7830">
        <w:rPr>
          <w:rFonts w:eastAsia="Calibri"/>
          <w:position w:val="0"/>
        </w:rPr>
        <w:t>prote</w:t>
      </w:r>
      <w:r w:rsidR="003205E8">
        <w:rPr>
          <w:rFonts w:eastAsia="Calibri"/>
          <w:position w:val="0"/>
        </w:rPr>
        <w:t>ica frente a las otras dos</w:t>
      </w:r>
      <w:r w:rsidRPr="003B7830">
        <w:rPr>
          <w:rFonts w:eastAsia="Calibri"/>
          <w:position w:val="0"/>
        </w:rPr>
        <w:t xml:space="preserve"> fracciones (ISPS, y ISPS-S)</w:t>
      </w:r>
      <w:r w:rsidR="003205E8">
        <w:rPr>
          <w:rFonts w:eastAsia="Calibri"/>
          <w:position w:val="0"/>
        </w:rPr>
        <w:t>. Como conclusión de estos ensayos, se determinó que l</w:t>
      </w:r>
      <w:r w:rsidRPr="003B7830">
        <w:rPr>
          <w:rFonts w:eastAsia="Calibri"/>
          <w:position w:val="0"/>
        </w:rPr>
        <w:t xml:space="preserve">os polisacáridos insolubles de soja </w:t>
      </w:r>
      <w:r w:rsidR="003205E8">
        <w:rPr>
          <w:rFonts w:eastAsia="Calibri"/>
          <w:position w:val="0"/>
        </w:rPr>
        <w:t>permiten la formulación de</w:t>
      </w:r>
      <w:r w:rsidR="003205E8" w:rsidRPr="003B7830">
        <w:rPr>
          <w:rFonts w:eastAsia="Calibri"/>
          <w:position w:val="0"/>
        </w:rPr>
        <w:t xml:space="preserve"> </w:t>
      </w:r>
      <w:r w:rsidRPr="003B7830">
        <w:rPr>
          <w:rFonts w:eastAsia="Calibri"/>
          <w:position w:val="0"/>
        </w:rPr>
        <w:t xml:space="preserve">emulsiones estables en un lapso </w:t>
      </w:r>
      <w:r w:rsidR="003205E8">
        <w:rPr>
          <w:rFonts w:eastAsia="Calibri"/>
          <w:position w:val="0"/>
        </w:rPr>
        <w:t>superior a los</w:t>
      </w:r>
      <w:r w:rsidR="003205E8" w:rsidRPr="003B7830">
        <w:rPr>
          <w:rFonts w:eastAsia="Calibri"/>
          <w:position w:val="0"/>
        </w:rPr>
        <w:t xml:space="preserve"> </w:t>
      </w:r>
      <w:r w:rsidRPr="003B7830">
        <w:rPr>
          <w:rFonts w:eastAsia="Calibri"/>
          <w:position w:val="0"/>
        </w:rPr>
        <w:t xml:space="preserve">28 días. </w:t>
      </w:r>
      <w:r w:rsidR="003205E8">
        <w:rPr>
          <w:rFonts w:eastAsia="Calibri"/>
          <w:position w:val="0"/>
        </w:rPr>
        <w:t>La</w:t>
      </w:r>
      <w:r w:rsidR="003205E8" w:rsidRPr="003B7830">
        <w:rPr>
          <w:rFonts w:eastAsia="Calibri"/>
          <w:position w:val="0"/>
        </w:rPr>
        <w:t xml:space="preserve"> </w:t>
      </w:r>
      <w:r w:rsidRPr="003B7830">
        <w:rPr>
          <w:rFonts w:eastAsia="Calibri"/>
          <w:position w:val="0"/>
        </w:rPr>
        <w:t>estabilidad</w:t>
      </w:r>
      <w:r w:rsidR="003205E8">
        <w:rPr>
          <w:rFonts w:eastAsia="Calibri"/>
          <w:position w:val="0"/>
        </w:rPr>
        <w:t xml:space="preserve"> de estos sistemas</w:t>
      </w:r>
      <w:r w:rsidRPr="003B7830">
        <w:rPr>
          <w:rFonts w:eastAsia="Calibri"/>
          <w:position w:val="0"/>
        </w:rPr>
        <w:t xml:space="preserve"> podría ser atribuida </w:t>
      </w:r>
      <w:r w:rsidR="00ED4914">
        <w:rPr>
          <w:rFonts w:eastAsia="Calibri"/>
          <w:position w:val="0"/>
        </w:rPr>
        <w:t xml:space="preserve">tanto a las características composicionales de las fracciones como a </w:t>
      </w:r>
      <w:r w:rsidR="00ED4914">
        <w:rPr>
          <w:rFonts w:eastAsia="Calibri"/>
          <w:position w:val="0"/>
        </w:rPr>
        <w:lastRenderedPageBreak/>
        <w:t xml:space="preserve">los efectos sobre las características </w:t>
      </w:r>
      <w:r w:rsidR="00CA2670">
        <w:rPr>
          <w:rFonts w:eastAsia="Calibri"/>
          <w:position w:val="0"/>
        </w:rPr>
        <w:t>estructurales y</w:t>
      </w:r>
      <w:r w:rsidR="00ED4914">
        <w:rPr>
          <w:rFonts w:eastAsia="Calibri"/>
          <w:position w:val="0"/>
        </w:rPr>
        <w:t xml:space="preserve"> funcionales que genera la aplicación de tratamientos de ultrasonido de alta energía sobre las macromoléculas que los componen.</w:t>
      </w:r>
      <w:r w:rsidRPr="003B7830">
        <w:rPr>
          <w:rFonts w:eastAsia="Calibri"/>
          <w:position w:val="0"/>
        </w:rPr>
        <w:t xml:space="preserve"> </w:t>
      </w:r>
    </w:p>
    <w:p w14:paraId="21A56425" w14:textId="49B56278" w:rsidR="003B7830" w:rsidRDefault="007D3408" w:rsidP="007D3408">
      <w:pPr>
        <w:suppressAutoHyphens w:val="0"/>
        <w:spacing w:after="160" w:line="259" w:lineRule="auto"/>
        <w:ind w:leftChars="0" w:left="0" w:firstLineChars="0" w:firstLine="0"/>
        <w:textDirection w:val="lrTb"/>
        <w:textAlignment w:val="auto"/>
        <w:outlineLvl w:val="9"/>
        <w:rPr>
          <w:rFonts w:eastAsia="Calibri"/>
          <w:position w:val="0"/>
          <w:lang w:val="es-PE"/>
        </w:rPr>
      </w:pPr>
      <w:r w:rsidRPr="007D3408">
        <w:rPr>
          <w:rFonts w:eastAsia="Calibri"/>
          <w:position w:val="0"/>
          <w:lang w:val="es-PE"/>
        </w:rPr>
        <w:t xml:space="preserve">Financiamiento: </w:t>
      </w:r>
      <w:r w:rsidRPr="007D3408">
        <w:rPr>
          <w:rFonts w:eastAsia="Calibri"/>
          <w:position w:val="0"/>
          <w:lang w:val="en-GB"/>
        </w:rPr>
        <w:t>PICT 2015–0084</w:t>
      </w:r>
      <w:r>
        <w:rPr>
          <w:rFonts w:eastAsia="Calibri"/>
          <w:position w:val="0"/>
          <w:lang w:val="en-GB"/>
        </w:rPr>
        <w:t xml:space="preserve">, Programa UNQ </w:t>
      </w:r>
      <w:r w:rsidRPr="007D3408">
        <w:rPr>
          <w:rFonts w:eastAsia="Calibri"/>
          <w:position w:val="0"/>
          <w:lang w:val="es-PE"/>
        </w:rPr>
        <w:t>53/1037.</w:t>
      </w:r>
    </w:p>
    <w:p w14:paraId="4E8F6B50" w14:textId="6F14AE1B" w:rsidR="00E476C0" w:rsidRPr="003B7830" w:rsidRDefault="00E476C0" w:rsidP="007D3408">
      <w:pPr>
        <w:suppressAutoHyphens w:val="0"/>
        <w:spacing w:after="160" w:line="259" w:lineRule="auto"/>
        <w:ind w:leftChars="0" w:left="0" w:firstLineChars="0" w:firstLine="0"/>
        <w:textDirection w:val="lrTb"/>
        <w:textAlignment w:val="auto"/>
        <w:outlineLvl w:val="9"/>
        <w:rPr>
          <w:rFonts w:eastAsia="Calibri"/>
          <w:position w:val="0"/>
          <w:lang w:val="es-PE"/>
        </w:rPr>
      </w:pPr>
      <w:r w:rsidRPr="003B7830">
        <w:rPr>
          <w:rFonts w:eastAsia="Calibri"/>
          <w:position w:val="0"/>
        </w:rPr>
        <w:t>Palabras Clave: okara, ISPS, emulsiones O/W, ultrasonido, estabilidad.</w:t>
      </w:r>
    </w:p>
    <w:p w14:paraId="60FFA606"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51B78CD2" w14:textId="77777777" w:rsidR="00BA309B" w:rsidRPr="003B7830" w:rsidRDefault="00BA309B">
      <w:pPr>
        <w:spacing w:after="0" w:line="240" w:lineRule="auto"/>
        <w:ind w:left="0" w:hanging="2"/>
      </w:pPr>
    </w:p>
    <w:sectPr w:rsidR="00BA309B" w:rsidRPr="003B7830">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3A33" w14:textId="77777777" w:rsidR="007D38F8" w:rsidRDefault="007D38F8">
      <w:pPr>
        <w:spacing w:after="0" w:line="240" w:lineRule="auto"/>
        <w:ind w:left="0" w:hanging="2"/>
      </w:pPr>
      <w:r>
        <w:separator/>
      </w:r>
    </w:p>
  </w:endnote>
  <w:endnote w:type="continuationSeparator" w:id="0">
    <w:p w14:paraId="0A2700E0" w14:textId="77777777" w:rsidR="007D38F8" w:rsidRDefault="007D38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D23D" w14:textId="77777777" w:rsidR="007D38F8" w:rsidRDefault="007D38F8">
      <w:pPr>
        <w:spacing w:after="0" w:line="240" w:lineRule="auto"/>
        <w:ind w:left="0" w:hanging="2"/>
      </w:pPr>
      <w:r>
        <w:separator/>
      </w:r>
    </w:p>
  </w:footnote>
  <w:footnote w:type="continuationSeparator" w:id="0">
    <w:p w14:paraId="4999687D" w14:textId="77777777" w:rsidR="007D38F8" w:rsidRDefault="007D38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81B8" w14:textId="77777777" w:rsidR="00BA309B" w:rsidRDefault="005A26D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A847192" wp14:editId="5605C2C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3FA8"/>
    <w:multiLevelType w:val="hybridMultilevel"/>
    <w:tmpl w:val="FE1AB024"/>
    <w:lvl w:ilvl="0" w:tplc="6FC0A18C">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60511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9B"/>
    <w:rsid w:val="00024111"/>
    <w:rsid w:val="0005623C"/>
    <w:rsid w:val="0008746C"/>
    <w:rsid w:val="000A4DEA"/>
    <w:rsid w:val="000D255E"/>
    <w:rsid w:val="000E563E"/>
    <w:rsid w:val="000F527A"/>
    <w:rsid w:val="00210E46"/>
    <w:rsid w:val="00212263"/>
    <w:rsid w:val="00281BFB"/>
    <w:rsid w:val="002E7222"/>
    <w:rsid w:val="0030425F"/>
    <w:rsid w:val="003205E8"/>
    <w:rsid w:val="00337E7C"/>
    <w:rsid w:val="003B7830"/>
    <w:rsid w:val="00484716"/>
    <w:rsid w:val="00493C9D"/>
    <w:rsid w:val="004A5CD0"/>
    <w:rsid w:val="004E76EC"/>
    <w:rsid w:val="00516407"/>
    <w:rsid w:val="0059457A"/>
    <w:rsid w:val="005A26D7"/>
    <w:rsid w:val="005A3FB7"/>
    <w:rsid w:val="00653DA7"/>
    <w:rsid w:val="0065562A"/>
    <w:rsid w:val="00675B57"/>
    <w:rsid w:val="006B4548"/>
    <w:rsid w:val="006D2F8B"/>
    <w:rsid w:val="007452F8"/>
    <w:rsid w:val="007822A5"/>
    <w:rsid w:val="00790504"/>
    <w:rsid w:val="007D3408"/>
    <w:rsid w:val="007D38F8"/>
    <w:rsid w:val="008D6319"/>
    <w:rsid w:val="00984590"/>
    <w:rsid w:val="00984EA9"/>
    <w:rsid w:val="009A2729"/>
    <w:rsid w:val="00A77499"/>
    <w:rsid w:val="00B710CA"/>
    <w:rsid w:val="00B94F44"/>
    <w:rsid w:val="00BA309B"/>
    <w:rsid w:val="00CA2670"/>
    <w:rsid w:val="00CE21FF"/>
    <w:rsid w:val="00D051A2"/>
    <w:rsid w:val="00DA676F"/>
    <w:rsid w:val="00DB6561"/>
    <w:rsid w:val="00DC51E6"/>
    <w:rsid w:val="00E476C0"/>
    <w:rsid w:val="00E70AE7"/>
    <w:rsid w:val="00ED4914"/>
    <w:rsid w:val="00EF03F3"/>
    <w:rsid w:val="00EF3B8F"/>
    <w:rsid w:val="00F2431A"/>
    <w:rsid w:val="00F56DA9"/>
    <w:rsid w:val="00F616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78F8"/>
  <w15:docId w15:val="{970AAEC6-7013-4260-B16C-A978327A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rafoapa">
    <w:name w:val="parrafoapa"/>
    <w:basedOn w:val="Normal"/>
    <w:link w:val="parrafoapaCar"/>
    <w:qFormat/>
    <w:rsid w:val="000A4DEA"/>
    <w:pPr>
      <w:suppressAutoHyphens w:val="0"/>
      <w:spacing w:after="0" w:line="480" w:lineRule="auto"/>
      <w:ind w:leftChars="0" w:left="0" w:firstLineChars="0" w:firstLine="720"/>
      <w:textDirection w:val="lrTb"/>
      <w:textAlignment w:val="auto"/>
      <w:outlineLvl w:val="9"/>
    </w:pPr>
    <w:rPr>
      <w:rFonts w:ascii="Times New Roman" w:eastAsia="Times New Roman" w:hAnsi="Times New Roman" w:cs="Times New Roman"/>
      <w:position w:val="0"/>
      <w:lang w:val="es-ES"/>
    </w:rPr>
  </w:style>
  <w:style w:type="character" w:customStyle="1" w:styleId="parrafoapaCar">
    <w:name w:val="parrafoapa Car"/>
    <w:basedOn w:val="Fuentedeprrafopredeter"/>
    <w:link w:val="parrafoapa"/>
    <w:rsid w:val="000A4DEA"/>
    <w:rPr>
      <w:rFonts w:ascii="Times New Roman" w:eastAsia="Times New Roman" w:hAnsi="Times New Roman" w:cs="Times New Roman"/>
      <w:lang w:val="es-ES" w:eastAsia="en-US"/>
    </w:rPr>
  </w:style>
  <w:style w:type="paragraph" w:styleId="Revisin">
    <w:name w:val="Revision"/>
    <w:hidden/>
    <w:uiPriority w:val="99"/>
    <w:semiHidden/>
    <w:rsid w:val="007D3408"/>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D3408"/>
    <w:rPr>
      <w:sz w:val="16"/>
      <w:szCs w:val="16"/>
    </w:rPr>
  </w:style>
  <w:style w:type="paragraph" w:styleId="Textocomentario">
    <w:name w:val="annotation text"/>
    <w:basedOn w:val="Normal"/>
    <w:link w:val="TextocomentarioCar"/>
    <w:uiPriority w:val="99"/>
    <w:semiHidden/>
    <w:unhideWhenUsed/>
    <w:rsid w:val="007D3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40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D3408"/>
    <w:rPr>
      <w:b/>
      <w:bCs/>
    </w:rPr>
  </w:style>
  <w:style w:type="character" w:customStyle="1" w:styleId="AsuntodelcomentarioCar">
    <w:name w:val="Asunto del comentario Car"/>
    <w:basedOn w:val="TextocomentarioCar"/>
    <w:link w:val="Asuntodelcomentario"/>
    <w:uiPriority w:val="99"/>
    <w:semiHidden/>
    <w:rsid w:val="007D3408"/>
    <w:rPr>
      <w:b/>
      <w:bCs/>
      <w:position w:val="-1"/>
      <w:sz w:val="20"/>
      <w:szCs w:val="20"/>
      <w:lang w:eastAsia="en-US"/>
    </w:rPr>
  </w:style>
  <w:style w:type="character" w:styleId="Mencinsinresolver">
    <w:name w:val="Unresolved Mention"/>
    <w:basedOn w:val="Fuentedeprrafopredeter"/>
    <w:uiPriority w:val="99"/>
    <w:semiHidden/>
    <w:unhideWhenUsed/>
    <w:rsid w:val="00E47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rio.cabezas@unq.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Pages>
  <Words>582</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Cicytac</cp:lastModifiedBy>
  <cp:revision>5</cp:revision>
  <dcterms:created xsi:type="dcterms:W3CDTF">2022-07-01T01:35:00Z</dcterms:created>
  <dcterms:modified xsi:type="dcterms:W3CDTF">2022-07-28T18:34:00Z</dcterms:modified>
</cp:coreProperties>
</file>