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9CCF" w14:textId="77777777" w:rsidR="0031553D" w:rsidRPr="003F47C6" w:rsidRDefault="0031553D" w:rsidP="009C47DE">
      <w:pPr>
        <w:ind w:left="0" w:hanging="2"/>
        <w:rPr>
          <w:b/>
          <w:bCs/>
        </w:rPr>
      </w:pPr>
    </w:p>
    <w:p w14:paraId="4EEDE9D7" w14:textId="5C2B68D5" w:rsidR="00DA1E04" w:rsidRPr="003F47C6" w:rsidRDefault="00560A35" w:rsidP="003F47C6">
      <w:pPr>
        <w:ind w:left="0" w:hanging="2"/>
        <w:jc w:val="center"/>
        <w:rPr>
          <w:b/>
          <w:bCs/>
          <w:color w:val="000000"/>
        </w:rPr>
      </w:pPr>
      <w:r w:rsidRPr="003F47C6">
        <w:rPr>
          <w:b/>
          <w:bCs/>
        </w:rPr>
        <w:t xml:space="preserve">Utilización de tecnologías alternativas para la extracción de compuestos bioactivos a partir de harina de </w:t>
      </w:r>
      <w:r w:rsidR="000040BC" w:rsidRPr="003F47C6">
        <w:rPr>
          <w:b/>
          <w:bCs/>
        </w:rPr>
        <w:t>chía</w:t>
      </w:r>
      <w:r w:rsidRPr="003F47C6">
        <w:rPr>
          <w:b/>
          <w:bCs/>
        </w:rPr>
        <w:t xml:space="preserve"> parcialmente desgrasada</w:t>
      </w:r>
    </w:p>
    <w:p w14:paraId="1830C542" w14:textId="77777777" w:rsidR="00DA1E04" w:rsidRDefault="00DA1E04">
      <w:pPr>
        <w:spacing w:after="0" w:line="240" w:lineRule="auto"/>
        <w:ind w:left="0" w:hanging="2"/>
        <w:jc w:val="center"/>
      </w:pPr>
    </w:p>
    <w:p w14:paraId="4E888449" w14:textId="42040D46" w:rsidR="00131571" w:rsidRPr="00482A92" w:rsidRDefault="00131571" w:rsidP="00131571">
      <w:pPr>
        <w:spacing w:line="240" w:lineRule="auto"/>
        <w:ind w:left="0" w:hanging="2"/>
        <w:jc w:val="center"/>
        <w:rPr>
          <w:sz w:val="22"/>
          <w:szCs w:val="22"/>
        </w:rPr>
      </w:pPr>
      <w:r w:rsidRPr="00482A92">
        <w:rPr>
          <w:sz w:val="22"/>
          <w:szCs w:val="22"/>
        </w:rPr>
        <w:t xml:space="preserve">Antón M </w:t>
      </w:r>
      <w:r w:rsidRPr="00482A92">
        <w:rPr>
          <w:sz w:val="22"/>
          <w:szCs w:val="22"/>
          <w:vertAlign w:val="superscript"/>
        </w:rPr>
        <w:t>(1)</w:t>
      </w:r>
      <w:r w:rsidRPr="00482A92">
        <w:rPr>
          <w:sz w:val="22"/>
          <w:szCs w:val="22"/>
        </w:rPr>
        <w:t xml:space="preserve">, Aranibar C </w:t>
      </w:r>
      <w:r w:rsidRPr="00482A92">
        <w:rPr>
          <w:sz w:val="22"/>
          <w:szCs w:val="22"/>
          <w:vertAlign w:val="superscript"/>
        </w:rPr>
        <w:t>(1)</w:t>
      </w:r>
      <w:r w:rsidRPr="00482A92">
        <w:rPr>
          <w:sz w:val="22"/>
          <w:szCs w:val="22"/>
        </w:rPr>
        <w:t>, Dusso D</w:t>
      </w:r>
      <w:r w:rsidR="00BA312F">
        <w:rPr>
          <w:sz w:val="22"/>
          <w:szCs w:val="22"/>
        </w:rPr>
        <w:t xml:space="preserve"> </w:t>
      </w:r>
      <w:r w:rsidRPr="00482A92">
        <w:rPr>
          <w:sz w:val="22"/>
          <w:szCs w:val="22"/>
          <w:vertAlign w:val="superscript"/>
        </w:rPr>
        <w:t>(3,4)</w:t>
      </w:r>
      <w:r w:rsidRPr="00482A92">
        <w:rPr>
          <w:sz w:val="22"/>
          <w:szCs w:val="22"/>
        </w:rPr>
        <w:t xml:space="preserve">, Moyano L </w:t>
      </w:r>
      <w:r w:rsidRPr="00482A92">
        <w:rPr>
          <w:sz w:val="22"/>
          <w:szCs w:val="22"/>
          <w:vertAlign w:val="superscript"/>
        </w:rPr>
        <w:t>(3)</w:t>
      </w:r>
      <w:r w:rsidRPr="00482A92">
        <w:rPr>
          <w:sz w:val="22"/>
          <w:szCs w:val="22"/>
        </w:rPr>
        <w:t>, Borneo R</w:t>
      </w:r>
      <w:r w:rsidR="00BA312F">
        <w:rPr>
          <w:sz w:val="22"/>
          <w:szCs w:val="22"/>
        </w:rPr>
        <w:t xml:space="preserve"> </w:t>
      </w:r>
      <w:r w:rsidRPr="00482A92">
        <w:rPr>
          <w:sz w:val="22"/>
          <w:szCs w:val="22"/>
          <w:vertAlign w:val="superscript"/>
        </w:rPr>
        <w:t>(1,2,5)</w:t>
      </w:r>
    </w:p>
    <w:p w14:paraId="4A3BDBFF" w14:textId="77777777" w:rsidR="00DA1E04" w:rsidRDefault="00DA1E04" w:rsidP="007653F9">
      <w:pPr>
        <w:spacing w:after="0" w:line="240" w:lineRule="auto"/>
        <w:ind w:left="0" w:hanging="2"/>
      </w:pPr>
    </w:p>
    <w:p w14:paraId="7573B50D" w14:textId="25A915B7" w:rsidR="00DA1E04" w:rsidRPr="00DC1AAA" w:rsidRDefault="008B6112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sz w:val="20"/>
          <w:szCs w:val="20"/>
        </w:rPr>
      </w:pPr>
      <w:r w:rsidRPr="00DC1AAA">
        <w:rPr>
          <w:sz w:val="20"/>
          <w:szCs w:val="20"/>
        </w:rPr>
        <w:t>Ins</w:t>
      </w:r>
      <w:r w:rsidR="00E63467" w:rsidRPr="00DC1AAA">
        <w:rPr>
          <w:sz w:val="20"/>
          <w:szCs w:val="20"/>
        </w:rPr>
        <w:t>tituto de Ciencia y Tecnología de los Alimentos ICYTAC-CONICET,</w:t>
      </w:r>
      <w:r w:rsidR="00DC1AAA" w:rsidRPr="00DC1AAA">
        <w:rPr>
          <w:sz w:val="20"/>
          <w:szCs w:val="20"/>
        </w:rPr>
        <w:t xml:space="preserve"> </w:t>
      </w:r>
      <w:r w:rsidR="00E63467" w:rsidRPr="00DC1AAA">
        <w:rPr>
          <w:sz w:val="20"/>
          <w:szCs w:val="20"/>
        </w:rPr>
        <w:t>U</w:t>
      </w:r>
      <w:r w:rsidR="00DC1AAA" w:rsidRPr="00DC1AAA">
        <w:rPr>
          <w:sz w:val="20"/>
          <w:szCs w:val="20"/>
        </w:rPr>
        <w:t>niversidad Nacional de Córdoba</w:t>
      </w:r>
      <w:r w:rsidRPr="00DC1AAA">
        <w:rPr>
          <w:sz w:val="20"/>
          <w:szCs w:val="20"/>
        </w:rPr>
        <w:t xml:space="preserve">, </w:t>
      </w:r>
      <w:r w:rsidR="00E63467" w:rsidRPr="00DC1AAA">
        <w:rPr>
          <w:color w:val="000000"/>
          <w:sz w:val="20"/>
          <w:szCs w:val="20"/>
        </w:rPr>
        <w:t xml:space="preserve">Av. Juan </w:t>
      </w:r>
      <w:proofErr w:type="spellStart"/>
      <w:r w:rsidR="00E63467" w:rsidRPr="00DC1AAA">
        <w:rPr>
          <w:color w:val="000000"/>
          <w:sz w:val="20"/>
          <w:szCs w:val="20"/>
        </w:rPr>
        <w:t>Filloy</w:t>
      </w:r>
      <w:proofErr w:type="spellEnd"/>
      <w:r w:rsidR="00E63467" w:rsidRPr="00DC1AAA">
        <w:rPr>
          <w:color w:val="000000"/>
          <w:sz w:val="20"/>
          <w:szCs w:val="20"/>
        </w:rPr>
        <w:t xml:space="preserve"> S/N, Córdoba, Argentina.</w:t>
      </w:r>
      <w:r w:rsidR="00E63467" w:rsidRPr="00DC1AAA">
        <w:rPr>
          <w:sz w:val="20"/>
          <w:szCs w:val="20"/>
        </w:rPr>
        <w:t xml:space="preserve"> </w:t>
      </w:r>
    </w:p>
    <w:p w14:paraId="789F9736" w14:textId="01EAA18F" w:rsidR="00E63467" w:rsidRPr="00DC1AAA" w:rsidRDefault="00E63467" w:rsidP="00DC1AAA">
      <w:pPr>
        <w:pStyle w:val="Prrafodelista"/>
        <w:numPr>
          <w:ilvl w:val="0"/>
          <w:numId w:val="1"/>
        </w:numPr>
        <w:spacing w:after="0"/>
        <w:ind w:leftChars="0" w:firstLineChars="0"/>
        <w:rPr>
          <w:sz w:val="20"/>
          <w:szCs w:val="20"/>
        </w:rPr>
      </w:pPr>
      <w:r w:rsidRPr="00DC1AAA">
        <w:rPr>
          <w:rFonts w:eastAsia="Times New Roman"/>
          <w:color w:val="000000"/>
          <w:sz w:val="20"/>
          <w:szCs w:val="20"/>
          <w:lang w:eastAsia="es-AR"/>
        </w:rPr>
        <w:t>Facultad de Ciencias Exactas, Físicas y Naturales, Universidad Nacional de Córdoba., Av. Vélez Sarsfield, Córdoba, Argentina.</w:t>
      </w:r>
    </w:p>
    <w:p w14:paraId="089BF686" w14:textId="0C595F61" w:rsidR="00E63467" w:rsidRPr="00DC1AAA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sz w:val="20"/>
          <w:szCs w:val="20"/>
        </w:rPr>
      </w:pPr>
      <w:r w:rsidRPr="00DC1AAA">
        <w:rPr>
          <w:color w:val="000000"/>
          <w:sz w:val="20"/>
          <w:szCs w:val="20"/>
        </w:rPr>
        <w:t>INFIQC. Dpto. Ciencias Químicas. Universidad Nacional de Córdoba, Córdoba, Argentina.</w:t>
      </w:r>
    </w:p>
    <w:p w14:paraId="22B346C7" w14:textId="6E86BE08" w:rsidR="00E63467" w:rsidRPr="00DC1AAA" w:rsidRDefault="00E63467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sz w:val="20"/>
          <w:szCs w:val="20"/>
        </w:rPr>
      </w:pPr>
      <w:r w:rsidRPr="00DC1AAA">
        <w:rPr>
          <w:rFonts w:eastAsia="Times New Roman"/>
          <w:color w:val="000000"/>
          <w:sz w:val="20"/>
          <w:szCs w:val="20"/>
          <w:lang w:eastAsia="es-AR"/>
        </w:rPr>
        <w:t>Facultad de Ciencias Exactas, Físicas y Naturales, Universidad Nacional de Río Cuarto, Córdoba, Argentina.</w:t>
      </w:r>
    </w:p>
    <w:p w14:paraId="0A64AC65" w14:textId="6C9DA7D8" w:rsidR="00E63467" w:rsidRPr="00DC1AAA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sz w:val="20"/>
          <w:szCs w:val="20"/>
        </w:rPr>
      </w:pPr>
      <w:r w:rsidRPr="00DC1AAA">
        <w:rPr>
          <w:rFonts w:eastAsia="Times New Roman"/>
          <w:color w:val="000000"/>
          <w:sz w:val="20"/>
          <w:szCs w:val="20"/>
          <w:lang w:eastAsia="es-AR"/>
        </w:rPr>
        <w:t>Instituto Superior de Desarrollo, Investigación y Servicios en Alimentos (ISIDSA). SECYT. Universidad Nacional de Córdoba. Córdoba, Argentina.</w:t>
      </w:r>
    </w:p>
    <w:p w14:paraId="02F7737F" w14:textId="77777777" w:rsidR="00131571" w:rsidRPr="0031553D" w:rsidRDefault="0013157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sz w:val="18"/>
          <w:szCs w:val="18"/>
        </w:rPr>
      </w:pPr>
    </w:p>
    <w:p w14:paraId="40875B23" w14:textId="285033EA" w:rsidR="00131571" w:rsidRPr="0031553D" w:rsidRDefault="00E74F8F" w:rsidP="00B1349A">
      <w:pPr>
        <w:spacing w:line="240" w:lineRule="auto"/>
        <w:ind w:left="0" w:hanging="2"/>
        <w:rPr>
          <w:color w:val="000000" w:themeColor="text1"/>
          <w:sz w:val="20"/>
          <w:szCs w:val="20"/>
        </w:rPr>
      </w:pPr>
      <w:r w:rsidRPr="0031553D">
        <w:rPr>
          <w:sz w:val="20"/>
          <w:szCs w:val="20"/>
        </w:rPr>
        <w:t>Direcciones de e-mails</w:t>
      </w:r>
      <w:r w:rsidR="00293D90" w:rsidRPr="0031553D">
        <w:rPr>
          <w:sz w:val="20"/>
          <w:szCs w:val="20"/>
        </w:rPr>
        <w:t xml:space="preserve">: </w:t>
      </w:r>
      <w:hyperlink r:id="rId9" w:history="1">
        <w:r w:rsidR="00293D90" w:rsidRPr="0031553D">
          <w:rPr>
            <w:rStyle w:val="Hipervnculo"/>
            <w:color w:val="000000" w:themeColor="text1"/>
            <w:sz w:val="20"/>
            <w:szCs w:val="20"/>
            <w:u w:val="none"/>
          </w:rPr>
          <w:t>mica.anton@agro.unc.edu.ar</w:t>
        </w:r>
      </w:hyperlink>
      <w:r w:rsidR="00131571" w:rsidRPr="0031553D">
        <w:rPr>
          <w:color w:val="000000" w:themeColor="text1"/>
          <w:sz w:val="20"/>
          <w:szCs w:val="20"/>
        </w:rPr>
        <w:t>;</w:t>
      </w:r>
      <w:r w:rsidR="00305CB5">
        <w:rPr>
          <w:color w:val="000000" w:themeColor="text1"/>
          <w:sz w:val="20"/>
          <w:szCs w:val="20"/>
        </w:rPr>
        <w:t xml:space="preserve"> </w:t>
      </w:r>
      <w:r w:rsidR="00305CB5" w:rsidRPr="00305CB5">
        <w:rPr>
          <w:sz w:val="20"/>
          <w:szCs w:val="20"/>
        </w:rPr>
        <w:t>caranibar@agro.unc.edu.ar</w:t>
      </w:r>
      <w:r w:rsidR="00293D90" w:rsidRPr="0031553D">
        <w:rPr>
          <w:color w:val="000000" w:themeColor="text1"/>
          <w:sz w:val="20"/>
          <w:szCs w:val="20"/>
        </w:rPr>
        <w:t xml:space="preserve">; </w:t>
      </w:r>
      <w:hyperlink r:id="rId10" w:history="1">
        <w:r w:rsidR="00293D90" w:rsidRPr="0031553D">
          <w:rPr>
            <w:rStyle w:val="Hipervnculo"/>
            <w:color w:val="000000" w:themeColor="text1"/>
            <w:sz w:val="20"/>
            <w:szCs w:val="20"/>
            <w:u w:val="none"/>
          </w:rPr>
          <w:t>diegodusso14@gmail.com</w:t>
        </w:r>
      </w:hyperlink>
      <w:r w:rsidR="00293D90" w:rsidRPr="0031553D">
        <w:rPr>
          <w:color w:val="000000" w:themeColor="text1"/>
          <w:sz w:val="20"/>
          <w:szCs w:val="20"/>
        </w:rPr>
        <w:t>;</w:t>
      </w:r>
      <w:r w:rsidR="00305CB5">
        <w:rPr>
          <w:color w:val="000000" w:themeColor="text1"/>
          <w:sz w:val="20"/>
          <w:szCs w:val="20"/>
        </w:rPr>
        <w:t xml:space="preserve"> </w:t>
      </w:r>
      <w:r w:rsidR="00305CB5" w:rsidRPr="00305CB5">
        <w:rPr>
          <w:sz w:val="20"/>
          <w:szCs w:val="20"/>
        </w:rPr>
        <w:t>lauramoy@fcq.unc.edu.ar</w:t>
      </w:r>
      <w:r w:rsidR="00293D90" w:rsidRPr="0031553D">
        <w:rPr>
          <w:color w:val="000000" w:themeColor="text1"/>
          <w:sz w:val="20"/>
          <w:szCs w:val="20"/>
        </w:rPr>
        <w:t>;</w:t>
      </w:r>
      <w:r w:rsidR="00305CB5">
        <w:rPr>
          <w:color w:val="000000" w:themeColor="text1"/>
          <w:sz w:val="20"/>
          <w:szCs w:val="20"/>
        </w:rPr>
        <w:t xml:space="preserve"> </w:t>
      </w:r>
      <w:r w:rsidR="00305CB5" w:rsidRPr="00305CB5">
        <w:rPr>
          <w:sz w:val="20"/>
          <w:szCs w:val="20"/>
        </w:rPr>
        <w:t>rafael.borneo@unc.edu.ar</w:t>
      </w:r>
      <w:r w:rsidR="00293D90" w:rsidRPr="0031553D">
        <w:rPr>
          <w:color w:val="000000" w:themeColor="text1"/>
          <w:sz w:val="20"/>
          <w:szCs w:val="20"/>
        </w:rPr>
        <w:t>.</w:t>
      </w:r>
    </w:p>
    <w:p w14:paraId="3C8029EE" w14:textId="77777777" w:rsidR="000A0E0F" w:rsidRPr="00107921" w:rsidRDefault="000A0E0F" w:rsidP="00293D90">
      <w:pPr>
        <w:spacing w:line="240" w:lineRule="auto"/>
        <w:ind w:left="0" w:hanging="2"/>
        <w:jc w:val="center"/>
        <w:rPr>
          <w:color w:val="000000" w:themeColor="text1"/>
          <w:sz w:val="20"/>
          <w:szCs w:val="20"/>
        </w:rPr>
      </w:pPr>
    </w:p>
    <w:p w14:paraId="5796F653" w14:textId="23C02A8E" w:rsidR="00DA1E04" w:rsidRDefault="008B611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76A59538" w14:textId="77777777" w:rsidR="00DA1E04" w:rsidRDefault="008B6112" w:rsidP="003F47C6">
      <w:pPr>
        <w:spacing w:after="0" w:line="240" w:lineRule="auto"/>
        <w:ind w:leftChars="0" w:left="0" w:firstLineChars="0" w:firstLine="0"/>
      </w:pPr>
      <w:r>
        <w:t>RESUMEN</w:t>
      </w:r>
    </w:p>
    <w:p w14:paraId="47B348F8" w14:textId="77777777" w:rsidR="007653F9" w:rsidRDefault="007653F9" w:rsidP="007653F9">
      <w:pPr>
        <w:spacing w:after="0" w:line="240" w:lineRule="auto"/>
        <w:ind w:leftChars="0" w:left="0" w:firstLineChars="0" w:firstLine="0"/>
      </w:pPr>
    </w:p>
    <w:p w14:paraId="1876933F" w14:textId="4A8F5295" w:rsidR="00560A35" w:rsidRPr="0031553D" w:rsidRDefault="00131571" w:rsidP="00305CB5">
      <w:pPr>
        <w:spacing w:line="240" w:lineRule="auto"/>
        <w:ind w:left="0" w:hanging="2"/>
        <w:rPr>
          <w:sz w:val="20"/>
          <w:szCs w:val="20"/>
        </w:rPr>
      </w:pPr>
      <w:r w:rsidRPr="0031553D">
        <w:t xml:space="preserve">Las técnicas clásicas de extracción, como la extracción sólido-líquido (ESL) y líquido-líquido (ELL), se basan en el uso de diferentes solventes y </w:t>
      </w:r>
      <w:r w:rsidR="00AA6D40" w:rsidRPr="0031553D">
        <w:t>altas temperaturas</w:t>
      </w:r>
      <w:r w:rsidRPr="0031553D">
        <w:t xml:space="preserve"> (Soxhlet e hidrodestilación). Estos métodos presentan limitaciones asociadas al uso de altas concentraciones de disolventes orgánicos peligrosos, al efecto de la temperatura del solvente sobre compuestos termolábiles y </w:t>
      </w:r>
      <w:r w:rsidR="003C6FC5" w:rsidRPr="0031553D">
        <w:rPr>
          <w:color w:val="000000" w:themeColor="text1"/>
        </w:rPr>
        <w:t>a tiempos</w:t>
      </w:r>
      <w:r w:rsidRPr="0031553D">
        <w:rPr>
          <w:color w:val="000000" w:themeColor="text1"/>
        </w:rPr>
        <w:t xml:space="preserve"> </w:t>
      </w:r>
      <w:r w:rsidRPr="0031553D">
        <w:t xml:space="preserve">de extracción prolongados, lo que conduce a una baja selectividad y reproducibilidad. Estas limitantes han dado paso al desarrollo de tecnologías innovadoras de extracción. El objetivo de este estudio fue investigar el uso de dos métodos alternativos de extracción: extracción asistida por ultrasonido (EAU) y extracción asistida por microondas (EAM) para la extracción de polifenoles </w:t>
      </w:r>
      <w:r w:rsidR="003C6FC5" w:rsidRPr="0031553D">
        <w:t>de harina</w:t>
      </w:r>
      <w:r w:rsidRPr="0031553D">
        <w:t xml:space="preserve"> parcialmente desgrasada de chía</w:t>
      </w:r>
      <w:r w:rsidR="00AA6D40" w:rsidRPr="0031553D">
        <w:t xml:space="preserve"> (HPDC.)</w:t>
      </w:r>
      <w:r w:rsidRPr="0031553D">
        <w:t xml:space="preserve">  El aceite fue extraído por prensado</w:t>
      </w:r>
      <w:r w:rsidR="000A0E0F" w:rsidRPr="0031553D">
        <w:t xml:space="preserve"> </w:t>
      </w:r>
      <w:r w:rsidR="00AA6D40" w:rsidRPr="0031553D">
        <w:t xml:space="preserve">de semillas de </w:t>
      </w:r>
      <w:r w:rsidR="000A0E0F" w:rsidRPr="0031553D">
        <w:t>chía</w:t>
      </w:r>
      <w:r w:rsidRPr="0031553D">
        <w:t xml:space="preserve"> en frío</w:t>
      </w:r>
      <w:r w:rsidR="00AA6D40" w:rsidRPr="0031553D">
        <w:t>.</w:t>
      </w:r>
      <w:r w:rsidRPr="0031553D">
        <w:t xml:space="preserve"> </w:t>
      </w:r>
      <w:r w:rsidR="00AA6D40" w:rsidRPr="0031553D">
        <w:t>E</w:t>
      </w:r>
      <w:r w:rsidRPr="0031553D">
        <w:t xml:space="preserve">l residuo remanente obtenido fue denominado </w:t>
      </w:r>
      <w:r w:rsidR="004D298E" w:rsidRPr="0031553D">
        <w:t>HPDC.</w:t>
      </w:r>
      <w:r w:rsidRPr="0031553D">
        <w:t xml:space="preserve"> La eficacia del proceso de extracción de polifenoles del método ESL</w:t>
      </w:r>
      <w:r w:rsidR="0031553D" w:rsidRPr="0031553D">
        <w:t xml:space="preserve"> </w:t>
      </w:r>
      <w:r w:rsidRPr="0031553D">
        <w:t xml:space="preserve">se comparó con la </w:t>
      </w:r>
      <w:r w:rsidR="00AA6D40" w:rsidRPr="0031553D">
        <w:t xml:space="preserve">de los métodos </w:t>
      </w:r>
      <w:r w:rsidRPr="0031553D">
        <w:t xml:space="preserve">EAU </w:t>
      </w:r>
      <w:r w:rsidR="00AA6D40" w:rsidRPr="0031553D">
        <w:t xml:space="preserve">y </w:t>
      </w:r>
      <w:r w:rsidRPr="0031553D">
        <w:t>EAM. A todos los extractos se les determinó el contenido total de polifenoles (CTP) por el método Folin-Ciocalteu</w:t>
      </w:r>
      <w:r w:rsidR="0031553D">
        <w:t>.</w:t>
      </w:r>
      <w:r w:rsidRPr="0031553D">
        <w:t xml:space="preserve"> Se </w:t>
      </w:r>
      <w:r w:rsidR="003C6FC5" w:rsidRPr="0031553D">
        <w:t>investigó</w:t>
      </w:r>
      <w:r w:rsidR="00AA6D40" w:rsidRPr="0031553D">
        <w:t xml:space="preserve"> el efecto de diferentes </w:t>
      </w:r>
      <w:r w:rsidR="003C6FC5" w:rsidRPr="0031553D">
        <w:t>combinaciones</w:t>
      </w:r>
      <w:r w:rsidR="00AA6D40" w:rsidRPr="0031553D">
        <w:t xml:space="preserve"> </w:t>
      </w:r>
      <w:r w:rsidRPr="0031553D">
        <w:t>de</w:t>
      </w:r>
      <w:r w:rsidRPr="0031553D">
        <w:rPr>
          <w:rFonts w:eastAsia="Cambria"/>
          <w:sz w:val="20"/>
          <w:szCs w:val="20"/>
        </w:rPr>
        <w:t xml:space="preserve"> </w:t>
      </w:r>
      <w:r w:rsidR="00AA6D40" w:rsidRPr="0031553D">
        <w:rPr>
          <w:rFonts w:eastAsia="Cambria"/>
        </w:rPr>
        <w:t>las</w:t>
      </w:r>
      <w:r w:rsidR="00AA6D40" w:rsidRPr="0031553D">
        <w:rPr>
          <w:rFonts w:eastAsia="Cambria"/>
          <w:sz w:val="20"/>
          <w:szCs w:val="20"/>
        </w:rPr>
        <w:t xml:space="preserve"> </w:t>
      </w:r>
      <w:r w:rsidRPr="0031553D">
        <w:t xml:space="preserve">variables </w:t>
      </w:r>
      <w:r w:rsidR="00AA6D40" w:rsidRPr="0031553D">
        <w:t>(</w:t>
      </w:r>
      <w:r w:rsidRPr="0031553D">
        <w:t>tiempo, cantidad de muestra, concentración de solvente, temperatura y cantidad de emulsionante</w:t>
      </w:r>
      <w:r w:rsidR="00AA6D40" w:rsidRPr="0031553D">
        <w:t xml:space="preserve">) sobre el rendimiento de la extracción </w:t>
      </w:r>
      <w:r w:rsidRPr="0031553D">
        <w:t xml:space="preserve"> Se planteó un diseño experimental (Compuesto reducido de Draper-y-Lin) mediante la metodología de superficie de respuesta, en el cual se estudiaron los efectos de las variables 18 </w:t>
      </w:r>
      <w:r w:rsidR="00AA6D40" w:rsidRPr="0031553D">
        <w:t>combinaciones</w:t>
      </w:r>
      <w:r w:rsidR="0031553D" w:rsidRPr="0031553D">
        <w:t xml:space="preserve"> </w:t>
      </w:r>
      <w:r w:rsidRPr="0031553D">
        <w:t>para cada metodología de extracción</w:t>
      </w:r>
      <w:r w:rsidR="00AA6D40" w:rsidRPr="0031553D">
        <w:t xml:space="preserve"> (ESL, EAU</w:t>
      </w:r>
      <w:r w:rsidR="00AF7B57" w:rsidRPr="0031553D">
        <w:t>, y EAM)</w:t>
      </w:r>
      <w:r w:rsidRPr="0031553D">
        <w:t xml:space="preserve"> para la optimización del rendimiento de extracción de polifenoles  </w:t>
      </w:r>
      <w:r w:rsidR="005E3576" w:rsidRPr="0031553D">
        <w:t>El CTP</w:t>
      </w:r>
      <w:r w:rsidR="00F8095A" w:rsidRPr="0031553D">
        <w:t xml:space="preserve"> </w:t>
      </w:r>
      <w:r w:rsidR="005E3576" w:rsidRPr="0031553D">
        <w:t xml:space="preserve">tuvo </w:t>
      </w:r>
      <w:r w:rsidRPr="0031553D">
        <w:t xml:space="preserve">diferencias significativas en función a la aplicación de los distintos métodos de </w:t>
      </w:r>
      <w:r w:rsidR="008F23E9" w:rsidRPr="0031553D">
        <w:rPr>
          <w:color w:val="000000" w:themeColor="text1"/>
        </w:rPr>
        <w:t>extracció</w:t>
      </w:r>
      <w:r w:rsidR="00BF0A2A" w:rsidRPr="0031553D">
        <w:rPr>
          <w:color w:val="000000" w:themeColor="text1"/>
        </w:rPr>
        <w:t>n (EAM:1425,1</w:t>
      </w:r>
      <w:r w:rsidR="009C47DE" w:rsidRPr="0031553D">
        <w:rPr>
          <w:color w:val="000000" w:themeColor="text1"/>
        </w:rPr>
        <w:t>;</w:t>
      </w:r>
      <w:r w:rsidR="00BF0A2A" w:rsidRPr="0031553D">
        <w:rPr>
          <w:color w:val="000000" w:themeColor="text1"/>
        </w:rPr>
        <w:t xml:space="preserve"> ESL:1082,1; EAU:871,2</w:t>
      </w:r>
      <w:r w:rsidR="009C47DE" w:rsidRPr="0031553D">
        <w:rPr>
          <w:color w:val="000000" w:themeColor="text1"/>
        </w:rPr>
        <w:t xml:space="preserve"> </w:t>
      </w:r>
      <w:r w:rsidR="00BF0A2A" w:rsidRPr="0031553D">
        <w:rPr>
          <w:color w:val="000000" w:themeColor="text1"/>
        </w:rPr>
        <w:t>mg</w:t>
      </w:r>
      <w:r w:rsidR="00F8095A" w:rsidRPr="0031553D">
        <w:rPr>
          <w:color w:val="000000" w:themeColor="text1"/>
        </w:rPr>
        <w:t xml:space="preserve"> de ácido gálico en 100</w:t>
      </w:r>
      <w:r w:rsidR="00C60586">
        <w:rPr>
          <w:color w:val="000000" w:themeColor="text1"/>
        </w:rPr>
        <w:t xml:space="preserve"> </w:t>
      </w:r>
      <w:r w:rsidR="00F8095A" w:rsidRPr="0031553D">
        <w:rPr>
          <w:color w:val="000000" w:themeColor="text1"/>
        </w:rPr>
        <w:t>g de HPDC</w:t>
      </w:r>
      <w:r w:rsidR="00BF0A2A" w:rsidRPr="0031553D">
        <w:rPr>
          <w:color w:val="000000" w:themeColor="text1"/>
        </w:rPr>
        <w:t>).</w:t>
      </w:r>
      <w:r w:rsidR="00F56BAD" w:rsidRPr="0031553D">
        <w:rPr>
          <w:color w:val="000000" w:themeColor="text1"/>
        </w:rPr>
        <w:t xml:space="preserve"> </w:t>
      </w:r>
      <w:r w:rsidR="00766491" w:rsidRPr="0031553D">
        <w:t>L</w:t>
      </w:r>
      <w:r w:rsidR="00F8095A" w:rsidRPr="0031553D">
        <w:t>a cantidad de</w:t>
      </w:r>
      <w:r w:rsidR="00766491" w:rsidRPr="0031553D">
        <w:t xml:space="preserve"> polifenoles obtenidos por </w:t>
      </w:r>
      <w:r w:rsidR="00BF0A2A" w:rsidRPr="0031553D">
        <w:t xml:space="preserve">ESL y EAU </w:t>
      </w:r>
      <w:r w:rsidR="00F8095A" w:rsidRPr="0031553D">
        <w:t>fueron</w:t>
      </w:r>
      <w:r w:rsidR="00766491" w:rsidRPr="0031553D">
        <w:t xml:space="preserve"> similares, </w:t>
      </w:r>
      <w:r w:rsidR="005E3576" w:rsidRPr="0031553D">
        <w:t xml:space="preserve">pero </w:t>
      </w:r>
      <w:r w:rsidR="00766491" w:rsidRPr="0031553D">
        <w:t>se consider</w:t>
      </w:r>
      <w:r w:rsidR="009C47DE" w:rsidRPr="0031553D">
        <w:t>ó</w:t>
      </w:r>
      <w:r w:rsidR="00766491" w:rsidRPr="0031553D">
        <w:t xml:space="preserve"> que </w:t>
      </w:r>
      <w:r w:rsidR="00F8095A" w:rsidRPr="0031553D">
        <w:t>fue</w:t>
      </w:r>
      <w:r w:rsidR="00766491" w:rsidRPr="0031553D">
        <w:t xml:space="preserve"> más </w:t>
      </w:r>
      <w:r w:rsidR="003C6FC5" w:rsidRPr="0031553D">
        <w:t>eficiente la</w:t>
      </w:r>
      <w:r w:rsidR="00AF7B57" w:rsidRPr="0031553D">
        <w:t xml:space="preserve"> EAU</w:t>
      </w:r>
      <w:r w:rsidR="00766491" w:rsidRPr="0031553D">
        <w:t xml:space="preserve"> porque se emplea</w:t>
      </w:r>
      <w:r w:rsidR="00F8095A" w:rsidRPr="0031553D">
        <w:t>ro</w:t>
      </w:r>
      <w:r w:rsidR="00766491" w:rsidRPr="0031553D">
        <w:t xml:space="preserve">n menores </w:t>
      </w:r>
      <w:r w:rsidR="00766491" w:rsidRPr="0031553D">
        <w:lastRenderedPageBreak/>
        <w:t>tiempos de extracción (20 min) en</w:t>
      </w:r>
      <w:r w:rsidR="00F8095A" w:rsidRPr="0031553D">
        <w:t xml:space="preserve"> comparación a</w:t>
      </w:r>
      <w:r w:rsidR="00766491" w:rsidRPr="0031553D">
        <w:t xml:space="preserve"> la ESL (7 hs). </w:t>
      </w:r>
      <w:r w:rsidRPr="0031553D">
        <w:t>La proporción de HPDC y de solvente fueron los factores que más influyeron en los métodos llevados a cabo.</w:t>
      </w:r>
      <w:r w:rsidRPr="0031553D">
        <w:rPr>
          <w:sz w:val="23"/>
          <w:szCs w:val="23"/>
        </w:rPr>
        <w:t xml:space="preserve"> </w:t>
      </w:r>
      <w:r w:rsidRPr="0031553D">
        <w:t xml:space="preserve">La EAM permitió tiempos de extracción más cortos </w:t>
      </w:r>
      <w:r w:rsidR="00766491" w:rsidRPr="0031553D">
        <w:t xml:space="preserve">(3,5 min) </w:t>
      </w:r>
      <w:r w:rsidRPr="0031553D">
        <w:t>en comparación con la ESL y la EAU. Además, el uso de EAM redujo significativamente la cantidad de solvente a utilizar. La aplicación de tecnologías ecológicas alternativas, como la EAU y EAM, mejoraron el rendimiento del proceso de extracción de polifenoles de la HPDC en relación a la extracción convencional. Como conclusión, ambas técnicas de extracción (EAU y EAM) podrían utilizarse como alternativas</w:t>
      </w:r>
      <w:r w:rsidR="003C6FC5" w:rsidRPr="0031553D">
        <w:t xml:space="preserve"> </w:t>
      </w:r>
      <w:r w:rsidRPr="0031553D">
        <w:t>a los métodos convencionales, siendo la EAM la tecnología más eficiente que optimizó en un 31% más el rendimiento de extracción del CTP</w:t>
      </w:r>
      <w:r w:rsidR="008F23E9" w:rsidRPr="0031553D">
        <w:t>.</w:t>
      </w:r>
    </w:p>
    <w:p w14:paraId="39C81672" w14:textId="77777777" w:rsidR="00DA1E04" w:rsidRPr="0031553D" w:rsidRDefault="00DA1E04" w:rsidP="00305CB5">
      <w:pPr>
        <w:spacing w:after="0" w:line="240" w:lineRule="auto"/>
        <w:ind w:leftChars="0" w:firstLineChars="0" w:firstLine="0"/>
      </w:pPr>
    </w:p>
    <w:p w14:paraId="362B1123" w14:textId="2FB6B6C5" w:rsidR="00560A35" w:rsidRPr="007653F9" w:rsidRDefault="00560A35" w:rsidP="00305CB5">
      <w:pPr>
        <w:spacing w:after="0" w:line="240" w:lineRule="auto"/>
        <w:ind w:left="0" w:hanging="2"/>
      </w:pPr>
      <w:r w:rsidRPr="007653F9">
        <w:t xml:space="preserve">Palabras clave: polifenoles, extracción asistida por ultrasonido (EAU), extracción asistida por microondas (EAM). </w:t>
      </w:r>
    </w:p>
    <w:p w14:paraId="2D3D3EA9" w14:textId="77777777" w:rsidR="00560A35" w:rsidRPr="007A4C8D" w:rsidRDefault="00560A35" w:rsidP="00305CB5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14:paraId="62E7F4E7" w14:textId="4FC99A30" w:rsidR="00DA1E04" w:rsidRPr="009C47DE" w:rsidRDefault="009C47DE">
      <w:pPr>
        <w:spacing w:after="0" w:line="240" w:lineRule="auto"/>
        <w:ind w:left="0" w:hanging="2"/>
        <w:rPr>
          <w:color w:val="FF0000"/>
        </w:rPr>
      </w:pPr>
      <w:r w:rsidRPr="009C47DE">
        <w:rPr>
          <w:color w:val="FF0000"/>
        </w:rPr>
        <w:t xml:space="preserve"> </w:t>
      </w:r>
    </w:p>
    <w:sectPr w:rsidR="00DA1E04" w:rsidRPr="009C47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DFC8" w14:textId="77777777" w:rsidR="00B33510" w:rsidRDefault="00B335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6D2D90" w14:textId="77777777" w:rsidR="00B33510" w:rsidRDefault="00B335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BD54" w14:textId="77777777" w:rsidR="002128AE" w:rsidRDefault="002128A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945" w14:textId="77777777" w:rsidR="002128AE" w:rsidRDefault="002128A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BC5" w14:textId="77777777" w:rsidR="002128AE" w:rsidRDefault="002128A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A13F" w14:textId="77777777" w:rsidR="00B33510" w:rsidRDefault="00B335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B2C97D" w14:textId="77777777" w:rsidR="00B33510" w:rsidRDefault="00B335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3059" w14:textId="77777777" w:rsidR="002128AE" w:rsidRDefault="002128A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5D83" w14:textId="77777777" w:rsidR="00DA1E04" w:rsidRDefault="008B61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954FCC" wp14:editId="192324A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7546" w14:textId="77777777" w:rsidR="002128AE" w:rsidRDefault="002128A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23B"/>
    <w:multiLevelType w:val="hybridMultilevel"/>
    <w:tmpl w:val="3968D6D4"/>
    <w:lvl w:ilvl="0" w:tplc="3D728EA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987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4"/>
    <w:rsid w:val="000040BC"/>
    <w:rsid w:val="00043C26"/>
    <w:rsid w:val="00097345"/>
    <w:rsid w:val="000A0E0F"/>
    <w:rsid w:val="00107921"/>
    <w:rsid w:val="00131571"/>
    <w:rsid w:val="00166E6B"/>
    <w:rsid w:val="001C5DD6"/>
    <w:rsid w:val="001D3A3C"/>
    <w:rsid w:val="002128AE"/>
    <w:rsid w:val="00293D90"/>
    <w:rsid w:val="00305CB5"/>
    <w:rsid w:val="0031553D"/>
    <w:rsid w:val="00343335"/>
    <w:rsid w:val="00350630"/>
    <w:rsid w:val="003C6FC5"/>
    <w:rsid w:val="003F47C6"/>
    <w:rsid w:val="00482A92"/>
    <w:rsid w:val="004D298E"/>
    <w:rsid w:val="00560A35"/>
    <w:rsid w:val="005E3576"/>
    <w:rsid w:val="007653F9"/>
    <w:rsid w:val="00766491"/>
    <w:rsid w:val="008B5B5B"/>
    <w:rsid w:val="008B6112"/>
    <w:rsid w:val="008F23E9"/>
    <w:rsid w:val="009C47DE"/>
    <w:rsid w:val="00A3729D"/>
    <w:rsid w:val="00AA6D40"/>
    <w:rsid w:val="00AF7B57"/>
    <w:rsid w:val="00B1349A"/>
    <w:rsid w:val="00B33510"/>
    <w:rsid w:val="00BA312F"/>
    <w:rsid w:val="00BF0A2A"/>
    <w:rsid w:val="00C501AD"/>
    <w:rsid w:val="00C60586"/>
    <w:rsid w:val="00CB4094"/>
    <w:rsid w:val="00CC7CCD"/>
    <w:rsid w:val="00CF7B86"/>
    <w:rsid w:val="00D555F7"/>
    <w:rsid w:val="00DA1E04"/>
    <w:rsid w:val="00DC1AAA"/>
    <w:rsid w:val="00E63467"/>
    <w:rsid w:val="00E74F8F"/>
    <w:rsid w:val="00EC274D"/>
    <w:rsid w:val="00F06A54"/>
    <w:rsid w:val="00F56BAD"/>
    <w:rsid w:val="00F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B05C"/>
  <w15:docId w15:val="{048003CA-BCAC-4F56-AC5C-7B04148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6346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E634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D9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A6D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D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D4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4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A0E0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A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iegodusso14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ica.anton@agro.unc.edu.a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F89868-1042-4E4A-974E-225B5E16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Micaela Anton</cp:lastModifiedBy>
  <cp:revision>2</cp:revision>
  <dcterms:created xsi:type="dcterms:W3CDTF">2022-07-01T14:04:00Z</dcterms:created>
  <dcterms:modified xsi:type="dcterms:W3CDTF">2022-07-01T14:04:00Z</dcterms:modified>
</cp:coreProperties>
</file>