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CD73" w14:textId="50714B9C" w:rsidR="00D71810" w:rsidRDefault="000E0B1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b/>
          <w:color w:val="000000"/>
        </w:rPr>
      </w:pPr>
      <w:r>
        <w:rPr>
          <w:b/>
          <w:color w:val="000000"/>
        </w:rPr>
        <w:t xml:space="preserve">Caracterización e inhibición química de la enzima </w:t>
      </w:r>
      <w:proofErr w:type="spellStart"/>
      <w:r>
        <w:rPr>
          <w:b/>
          <w:color w:val="000000"/>
        </w:rPr>
        <w:t>Polifenoloxidasa</w:t>
      </w:r>
      <w:proofErr w:type="spellEnd"/>
      <w:r>
        <w:rPr>
          <w:b/>
          <w:color w:val="000000"/>
        </w:rPr>
        <w:t xml:space="preserve"> extraída de paltas variedad </w:t>
      </w:r>
      <w:proofErr w:type="spellStart"/>
      <w:r>
        <w:rPr>
          <w:b/>
          <w:color w:val="000000"/>
        </w:rPr>
        <w:t>Hass</w:t>
      </w:r>
      <w:proofErr w:type="spellEnd"/>
    </w:p>
    <w:p w14:paraId="0B1F29C4" w14:textId="77777777" w:rsidR="00D71810" w:rsidRPr="000F706D" w:rsidRDefault="00D71810" w:rsidP="000F706D">
      <w:pPr>
        <w:spacing w:after="0" w:line="240" w:lineRule="auto"/>
        <w:ind w:left="0" w:hanging="2"/>
        <w:rPr>
          <w:rStyle w:val="Textoennegrita"/>
        </w:rPr>
      </w:pPr>
    </w:p>
    <w:p w14:paraId="4591FE6C" w14:textId="5292E3BD" w:rsidR="00D71810" w:rsidRDefault="00CB7297" w:rsidP="00CB7297">
      <w:pPr>
        <w:spacing w:after="0" w:line="240" w:lineRule="auto"/>
        <w:ind w:left="0" w:hanging="2"/>
        <w:jc w:val="center"/>
      </w:pPr>
      <w:proofErr w:type="spellStart"/>
      <w:r>
        <w:t>Biondi</w:t>
      </w:r>
      <w:proofErr w:type="spellEnd"/>
      <w:r>
        <w:t xml:space="preserve"> </w:t>
      </w:r>
      <w:proofErr w:type="spellStart"/>
      <w:r>
        <w:t>Benuzzi</w:t>
      </w:r>
      <w:proofErr w:type="spellEnd"/>
      <w:r>
        <w:t xml:space="preserve"> </w:t>
      </w:r>
      <w:r w:rsidR="000E0B1E">
        <w:t xml:space="preserve">N. (1), Melo G. (1), Sancho MI. (1), </w:t>
      </w:r>
      <w:proofErr w:type="spellStart"/>
      <w:r w:rsidR="000E0B1E">
        <w:t>Gasull</w:t>
      </w:r>
      <w:proofErr w:type="spellEnd"/>
      <w:r w:rsidR="000E0B1E">
        <w:t xml:space="preserve"> E</w:t>
      </w:r>
      <w:r w:rsidR="003E492F">
        <w:t>.</w:t>
      </w:r>
      <w:r w:rsidR="000E0B1E">
        <w:t xml:space="preserve"> (1)</w:t>
      </w:r>
    </w:p>
    <w:p w14:paraId="0CDA543F" w14:textId="77777777" w:rsidR="00D71810" w:rsidRDefault="00D71810">
      <w:pPr>
        <w:spacing w:after="0" w:line="240" w:lineRule="auto"/>
        <w:ind w:left="0" w:hanging="2"/>
        <w:jc w:val="center"/>
      </w:pPr>
    </w:p>
    <w:p w14:paraId="2EDEB4A7" w14:textId="0F76E44A" w:rsidR="00D71810" w:rsidRDefault="000E0B1E">
      <w:pPr>
        <w:spacing w:after="120" w:line="240" w:lineRule="auto"/>
        <w:ind w:left="0" w:hanging="2"/>
        <w:jc w:val="left"/>
      </w:pPr>
      <w:r>
        <w:t>(1)</w:t>
      </w:r>
      <w:r w:rsidR="000F706D">
        <w:t xml:space="preserve"> </w:t>
      </w:r>
      <w:r>
        <w:t>Área de Química Física, Facultad de Química, Bioquímica y Farmacia. Universidad Nacional de San Luis. Av. Ejército de los Andes 950, San Luis, Argentina.</w:t>
      </w:r>
    </w:p>
    <w:p w14:paraId="30C53440" w14:textId="119CB7BC" w:rsidR="00D71810" w:rsidRDefault="0051014E">
      <w:pPr>
        <w:pBdr>
          <w:top w:val="none" w:sz="0" w:space="0" w:color="000000"/>
          <w:left w:val="none" w:sz="0" w:space="0" w:color="000000"/>
          <w:bottom w:val="none" w:sz="0" w:space="0" w:color="000000"/>
          <w:right w:val="none" w:sz="0" w:space="0" w:color="000000"/>
          <w:between w:val="none" w:sz="0" w:space="0" w:color="000000"/>
        </w:pBdr>
        <w:tabs>
          <w:tab w:val="left" w:pos="7185"/>
        </w:tabs>
        <w:spacing w:after="0" w:line="240" w:lineRule="auto"/>
        <w:ind w:left="0" w:hanging="2"/>
        <w:jc w:val="left"/>
        <w:rPr>
          <w:color w:val="000000"/>
        </w:rPr>
      </w:pPr>
      <w:r>
        <w:rPr>
          <w:color w:val="000000"/>
        </w:rPr>
        <w:t>Direcci</w:t>
      </w:r>
      <w:r w:rsidR="000F706D">
        <w:rPr>
          <w:color w:val="000000"/>
        </w:rPr>
        <w:t>ón de e-mail: esgasu@nsl.edu.ar</w:t>
      </w:r>
    </w:p>
    <w:p w14:paraId="18723CF7" w14:textId="77777777" w:rsidR="00D71810" w:rsidRDefault="00D71810">
      <w:pPr>
        <w:spacing w:after="0" w:line="240" w:lineRule="auto"/>
        <w:ind w:left="0" w:hanging="2"/>
      </w:pPr>
    </w:p>
    <w:p w14:paraId="2B032624" w14:textId="77777777" w:rsidR="00D71810" w:rsidRDefault="00D71810">
      <w:pPr>
        <w:spacing w:after="0" w:line="240" w:lineRule="auto"/>
        <w:ind w:left="0" w:hanging="2"/>
      </w:pPr>
    </w:p>
    <w:p w14:paraId="32DAFBD6" w14:textId="5B164100" w:rsidR="00D71810" w:rsidRDefault="000E0B1E">
      <w:pPr>
        <w:spacing w:after="0" w:line="240" w:lineRule="auto"/>
        <w:ind w:left="0" w:hanging="2"/>
        <w:rPr>
          <w:highlight w:val="white"/>
        </w:rPr>
      </w:pPr>
      <w:r>
        <w:t xml:space="preserve">La </w:t>
      </w:r>
      <w:proofErr w:type="spellStart"/>
      <w:r>
        <w:t>Polifenoloxidasa</w:t>
      </w:r>
      <w:proofErr w:type="spellEnd"/>
      <w:r>
        <w:t xml:space="preserve"> (PFO) es una enzima endógena presente en los alimentos que cataliza las reacciones de </w:t>
      </w:r>
      <w:proofErr w:type="spellStart"/>
      <w:r>
        <w:t>pardeamiento</w:t>
      </w:r>
      <w:proofErr w:type="spellEnd"/>
      <w:r>
        <w:t xml:space="preserve"> enzimático, las cuales modifican las propiedades sensoriales y nutricionales de los mismos. La importancia de realizar un estudio fisicoquímico de esta enzima en alimentos de origen vegetal, radica en la necesidad de encontrar métodos que inhiban la acción de la enzima, prolongando la vida útil del alimento. La actividad de PFO puede ser inhibida por procesos físicos, o bien empleando inhibidores químicos. En el presente trabajo se realizó una caracterización fisicoquímica de la PFO extraída de paltas variedad </w:t>
      </w:r>
      <w:proofErr w:type="spellStart"/>
      <w:r>
        <w:t>Hass</w:t>
      </w:r>
      <w:proofErr w:type="spellEnd"/>
      <w:r>
        <w:t xml:space="preserve"> (</w:t>
      </w:r>
      <w:proofErr w:type="spellStart"/>
      <w:r>
        <w:rPr>
          <w:i/>
        </w:rPr>
        <w:t>Persea</w:t>
      </w:r>
      <w:proofErr w:type="spellEnd"/>
      <w:r>
        <w:rPr>
          <w:i/>
        </w:rPr>
        <w:t xml:space="preserve"> </w:t>
      </w:r>
      <w:proofErr w:type="gramStart"/>
      <w:r>
        <w:rPr>
          <w:i/>
        </w:rPr>
        <w:t>Americana</w:t>
      </w:r>
      <w:proofErr w:type="gramEnd"/>
      <w:r>
        <w:t xml:space="preserve">), y se obtuvieron sus condiciones óptimas de funcionamiento como así también su estabilidad térmica. La actividad de la enzima extraída fue determinada por espectrofotometría UV-Vis midiendo absorbancia cada 5 s, durante aproximadamente 3 min a la longitud de onda máxima del producto de la reacción (420 </w:t>
      </w:r>
      <w:proofErr w:type="spellStart"/>
      <w:r>
        <w:t>nm</w:t>
      </w:r>
      <w:proofErr w:type="spellEnd"/>
      <w:r>
        <w:t xml:space="preserve">) en medio buffer fosfato a pH óptimo. La unidad de actividad de la enzima (UE) se definió como el aumento de 0,001 unidades de absorbancia por minuto y por </w:t>
      </w:r>
      <w:proofErr w:type="spellStart"/>
      <w:r>
        <w:t>mL</w:t>
      </w:r>
      <w:proofErr w:type="spellEnd"/>
      <w:r>
        <w:t xml:space="preserve"> de extracto de enzima. </w:t>
      </w:r>
      <w:r w:rsidR="000F706D">
        <w:t xml:space="preserve">Los ensayos fueron realizados por duplicado y se empleó ANOVA para su análisis estadístico. </w:t>
      </w:r>
      <w:r>
        <w:t xml:space="preserve">Los resultados obtenidos indican que esta PFO presenta una actividad óptima a pH 5 y a 35ºC. Aplicando el tratamiento de </w:t>
      </w:r>
      <w:proofErr w:type="spellStart"/>
      <w:r>
        <w:t>Lineweaver-Burk</w:t>
      </w:r>
      <w:proofErr w:type="spellEnd"/>
      <w:r>
        <w:t xml:space="preserve"> se determinaron los parámetros cinéticos de la enzima empleando </w:t>
      </w:r>
      <w:proofErr w:type="spellStart"/>
      <w:r>
        <w:t>catecol</w:t>
      </w:r>
      <w:proofErr w:type="spellEnd"/>
      <w:r>
        <w:t xml:space="preserve"> como sustrato: </w:t>
      </w:r>
      <w:proofErr w:type="spellStart"/>
      <w:r>
        <w:t>Vmáx</w:t>
      </w:r>
      <w:proofErr w:type="spellEnd"/>
      <w:r>
        <w:t xml:space="preserve"> = 7,16 UE y K</w:t>
      </w:r>
      <w:r>
        <w:rPr>
          <w:vertAlign w:val="subscript"/>
        </w:rPr>
        <w:t>M</w:t>
      </w:r>
      <w:r>
        <w:t xml:space="preserve"> = 17,20 </w:t>
      </w:r>
      <w:proofErr w:type="spellStart"/>
      <w:r>
        <w:t>mM.</w:t>
      </w:r>
      <w:proofErr w:type="spellEnd"/>
      <w:r>
        <w:t xml:space="preserve"> La inhibición de la PFO extraída de palta se analizó empleando diferentes compuestos de conocida acción inhibitoria, tales como ácido ascórbico (AA), </w:t>
      </w:r>
      <w:proofErr w:type="spellStart"/>
      <w:r>
        <w:t>isoascorbato</w:t>
      </w:r>
      <w:proofErr w:type="spellEnd"/>
      <w:r>
        <w:t xml:space="preserve"> de sodio (IA), ácido cítrico (AC) y ácido </w:t>
      </w:r>
      <w:proofErr w:type="spellStart"/>
      <w:r>
        <w:t>gentísico</w:t>
      </w:r>
      <w:proofErr w:type="spellEnd"/>
      <w:r>
        <w:t xml:space="preserve"> (AG), en un intervalo de concentraciones de 23 </w:t>
      </w:r>
      <w:proofErr w:type="spellStart"/>
      <w:r w:rsidR="0081219B">
        <w:t>u</w:t>
      </w:r>
      <w:r w:rsidR="00CB7297">
        <w:t>M</w:t>
      </w:r>
      <w:proofErr w:type="spellEnd"/>
      <w:r w:rsidR="00CB7297">
        <w:t xml:space="preserve"> </w:t>
      </w:r>
      <w:r>
        <w:t xml:space="preserve">a 36 </w:t>
      </w:r>
      <w:proofErr w:type="spellStart"/>
      <w:r>
        <w:t>mM.</w:t>
      </w:r>
      <w:proofErr w:type="spellEnd"/>
      <w:r>
        <w:t xml:space="preserve"> De los estudios cinéticos</w:t>
      </w:r>
      <w:r w:rsidR="00CB7297">
        <w:t xml:space="preserve"> </w:t>
      </w:r>
      <w:r>
        <w:t xml:space="preserve">se observa el siguiente orden en la capacidad inhibitoria: </w:t>
      </w:r>
      <w:proofErr w:type="spellStart"/>
      <w:r>
        <w:t>ác</w:t>
      </w:r>
      <w:proofErr w:type="spellEnd"/>
      <w:r>
        <w:t xml:space="preserve">. Cítrico &lt; </w:t>
      </w:r>
      <w:proofErr w:type="spellStart"/>
      <w:r>
        <w:t>ác</w:t>
      </w:r>
      <w:proofErr w:type="spellEnd"/>
      <w:r>
        <w:t xml:space="preserve">. </w:t>
      </w:r>
      <w:proofErr w:type="spellStart"/>
      <w:r>
        <w:t>Gentísico</w:t>
      </w:r>
      <w:proofErr w:type="spellEnd"/>
      <w:r>
        <w:t xml:space="preserve"> &lt; </w:t>
      </w:r>
      <w:proofErr w:type="spellStart"/>
      <w:r>
        <w:t>ác</w:t>
      </w:r>
      <w:proofErr w:type="spellEnd"/>
      <w:r>
        <w:t xml:space="preserve">. Ascórbico &lt; </w:t>
      </w:r>
      <w:proofErr w:type="spellStart"/>
      <w:r>
        <w:t>isoascorbato</w:t>
      </w:r>
      <w:proofErr w:type="spellEnd"/>
      <w:r>
        <w:t xml:space="preserve"> de sodio.  El AC produce una reducción en la actividad enzimática del 64% a una concentración de 15,7 </w:t>
      </w:r>
      <w:proofErr w:type="spellStart"/>
      <w:r>
        <w:t>mM</w:t>
      </w:r>
      <w:proofErr w:type="spellEnd"/>
      <w:r>
        <w:t xml:space="preserve">, mientras que el AG reduce la actividad de la enzima en un </w:t>
      </w:r>
      <w:r>
        <w:rPr>
          <w:highlight w:val="white"/>
        </w:rPr>
        <w:t>58%</w:t>
      </w:r>
      <w:r>
        <w:t xml:space="preserve"> a una concentración de inhibidor del 1,1 </w:t>
      </w:r>
      <w:proofErr w:type="spellStart"/>
      <w:r>
        <w:t>mM.</w:t>
      </w:r>
      <w:proofErr w:type="spellEnd"/>
      <w:r>
        <w:t xml:space="preserve"> Por su parte el AA y el IA reducen la actividad en un 7,7% y un 13% en concentraciones de 23,1 </w:t>
      </w:r>
      <w:proofErr w:type="spellStart"/>
      <w:r w:rsidR="0081219B">
        <w:t>u</w:t>
      </w:r>
      <w:r w:rsidR="00CB7297" w:rsidRPr="00CB7297">
        <w:t>M</w:t>
      </w:r>
      <w:proofErr w:type="spellEnd"/>
      <w:r>
        <w:t xml:space="preserve"> y 27,6 </w:t>
      </w:r>
      <w:proofErr w:type="spellStart"/>
      <w:r w:rsidR="0081219B">
        <w:t>u</w:t>
      </w:r>
      <w:r w:rsidR="00CB7297" w:rsidRPr="00CB7297">
        <w:t>M</w:t>
      </w:r>
      <w:proofErr w:type="spellEnd"/>
      <w:r>
        <w:t>, respectivamente. Est</w:t>
      </w:r>
      <w:r w:rsidR="00664566">
        <w:t>o</w:t>
      </w:r>
      <w:r>
        <w:t xml:space="preserve"> indica que para producir una disminución de la actividad enzimática comparable a aquella producida con AC o AG se requiere una menor concentración de IA o AA. Finalmente, se</w:t>
      </w:r>
      <w:r>
        <w:rPr>
          <w:highlight w:val="white"/>
        </w:rPr>
        <w:t xml:space="preserve"> determinaron los mecanismos de inhibición de estos agentes químicos sobre la actividad de la PFO, obteniéndose que AG es un inhibidor competitivo, en tanto que AA e IA presentan inhibición del tipo </w:t>
      </w:r>
      <w:proofErr w:type="spellStart"/>
      <w:r>
        <w:rPr>
          <w:highlight w:val="white"/>
        </w:rPr>
        <w:t>acompetitiva</w:t>
      </w:r>
      <w:proofErr w:type="spellEnd"/>
      <w:r>
        <w:rPr>
          <w:highlight w:val="white"/>
        </w:rPr>
        <w:t>, mientras que</w:t>
      </w:r>
      <w:bookmarkStart w:id="0" w:name="_GoBack"/>
      <w:bookmarkEnd w:id="0"/>
      <w:r>
        <w:rPr>
          <w:highlight w:val="white"/>
        </w:rPr>
        <w:t xml:space="preserve"> AC muestra un mecanismo de inhibición tipo mixto.  </w:t>
      </w:r>
    </w:p>
    <w:p w14:paraId="2356B82F" w14:textId="77777777" w:rsidR="000F706D" w:rsidRDefault="000E0B1E">
      <w:pPr>
        <w:spacing w:after="0" w:line="240" w:lineRule="auto"/>
        <w:ind w:left="0" w:hanging="2"/>
      </w:pPr>
      <w:r>
        <w:t xml:space="preserve"> </w:t>
      </w:r>
    </w:p>
    <w:p w14:paraId="7FF9E150" w14:textId="1AB16AB1" w:rsidR="00D71810" w:rsidRDefault="000E0B1E">
      <w:pPr>
        <w:spacing w:after="0" w:line="240" w:lineRule="auto"/>
        <w:ind w:left="0" w:hanging="2"/>
      </w:pPr>
      <w:r>
        <w:lastRenderedPageBreak/>
        <w:t xml:space="preserve">Palabras Clave: </w:t>
      </w:r>
      <w:proofErr w:type="spellStart"/>
      <w:r>
        <w:t>Persea</w:t>
      </w:r>
      <w:proofErr w:type="spellEnd"/>
      <w:r>
        <w:t xml:space="preserve"> </w:t>
      </w:r>
      <w:proofErr w:type="gramStart"/>
      <w:r>
        <w:t>Americana</w:t>
      </w:r>
      <w:proofErr w:type="gramEnd"/>
      <w:r>
        <w:t xml:space="preserve">, </w:t>
      </w:r>
      <w:proofErr w:type="spellStart"/>
      <w:r>
        <w:t>Pardeamiento</w:t>
      </w:r>
      <w:proofErr w:type="spellEnd"/>
      <w:r>
        <w:t xml:space="preserve"> Enzimático, Capacidad Inhibitoria</w:t>
      </w:r>
    </w:p>
    <w:sectPr w:rsidR="00D7181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C78E" w14:textId="77777777" w:rsidR="0044232C" w:rsidRDefault="0044232C">
      <w:pPr>
        <w:spacing w:after="0" w:line="240" w:lineRule="auto"/>
        <w:ind w:left="0" w:hanging="2"/>
      </w:pPr>
      <w:r>
        <w:separator/>
      </w:r>
    </w:p>
  </w:endnote>
  <w:endnote w:type="continuationSeparator" w:id="0">
    <w:p w14:paraId="203FE3D8" w14:textId="77777777" w:rsidR="0044232C" w:rsidRDefault="004423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732CB" w14:textId="77777777" w:rsidR="0044232C" w:rsidRDefault="0044232C">
      <w:pPr>
        <w:spacing w:after="0" w:line="240" w:lineRule="auto"/>
        <w:ind w:left="0" w:hanging="2"/>
      </w:pPr>
      <w:r>
        <w:separator/>
      </w:r>
    </w:p>
  </w:footnote>
  <w:footnote w:type="continuationSeparator" w:id="0">
    <w:p w14:paraId="51F71210" w14:textId="77777777" w:rsidR="0044232C" w:rsidRDefault="0044232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8DBD" w14:textId="77777777" w:rsidR="00D71810" w:rsidRDefault="000E0B1E">
    <w:pPr>
      <w:pBdr>
        <w:top w:val="none" w:sz="0" w:space="0" w:color="000000"/>
        <w:left w:val="none" w:sz="0" w:space="0" w:color="000000"/>
        <w:bottom w:val="single" w:sz="4" w:space="1" w:color="000000"/>
        <w:right w:val="none" w:sz="0" w:space="0" w:color="000000"/>
        <w:between w:val="none" w:sz="0" w:space="0" w:color="000000"/>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A6D0941" wp14:editId="0408C813">
          <wp:simplePos x="0" y="0"/>
          <wp:positionH relativeFrom="column">
            <wp:posOffset>5716</wp:posOffset>
          </wp:positionH>
          <wp:positionV relativeFrom="paragraph">
            <wp:posOffset>-274319</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10"/>
    <w:rsid w:val="000E0B1E"/>
    <w:rsid w:val="000F706D"/>
    <w:rsid w:val="00376C20"/>
    <w:rsid w:val="003E492F"/>
    <w:rsid w:val="0044232C"/>
    <w:rsid w:val="0051014E"/>
    <w:rsid w:val="005929C9"/>
    <w:rsid w:val="005B152F"/>
    <w:rsid w:val="00634C68"/>
    <w:rsid w:val="00664566"/>
    <w:rsid w:val="0081219B"/>
    <w:rsid w:val="008256A2"/>
    <w:rsid w:val="00A2265B"/>
    <w:rsid w:val="00A27148"/>
    <w:rsid w:val="00A817F6"/>
    <w:rsid w:val="00BB3322"/>
    <w:rsid w:val="00BB5586"/>
    <w:rsid w:val="00CB7297"/>
    <w:rsid w:val="00D71810"/>
    <w:rsid w:val="00DD1D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C5B2"/>
  <w15:docId w15:val="{8096C34C-A9AE-43AD-B69C-CF571B3E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Alignment w:val="top"/>
      <w:outlineLvl w:val="0"/>
    </w:pPr>
    <w:rPr>
      <w:position w:val="-1"/>
      <w:lang w:val="es-AR"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pPr>
      <w:jc w:val="center"/>
    </w:pPr>
    <w:rPr>
      <w:rFonts w:cs="Times New Roman"/>
      <w:b/>
      <w:lang w:val="zh-CN" w:eastAsia="zh-CN"/>
    </w:rPr>
  </w:style>
  <w:style w:type="paragraph" w:customStyle="1" w:styleId="Ttulo21">
    <w:name w:val="Título 21"/>
    <w:basedOn w:val="Normal"/>
    <w:next w:val="Normal"/>
    <w:pPr>
      <w:jc w:val="center"/>
      <w:outlineLvl w:val="1"/>
    </w:pPr>
    <w:rPr>
      <w:rFonts w:cs="Times New Roman"/>
      <w:lang w:val="zh-CN" w:eastAsia="zh-CN"/>
    </w:rPr>
  </w:style>
  <w:style w:type="paragraph" w:customStyle="1" w:styleId="Ttulo31">
    <w:name w:val="Título 31"/>
    <w:basedOn w:val="Normal"/>
    <w:next w:val="Normal"/>
    <w:pPr>
      <w:jc w:val="center"/>
      <w:outlineLvl w:val="2"/>
    </w:pPr>
    <w:rPr>
      <w:rFonts w:cs="Times New Roman"/>
      <w:lang w:val="zh-CN" w:eastAsia="zh-CN"/>
    </w:rPr>
  </w:style>
  <w:style w:type="character" w:customStyle="1" w:styleId="Fuentedeprrafopredeter1">
    <w:name w:val="Fuente de párrafo predeter.1"/>
    <w:qFormat/>
    <w:rPr>
      <w:w w:val="100"/>
      <w:position w:val="-1"/>
      <w:vertAlign w:val="baseline"/>
      <w:cs w:val="0"/>
    </w:rPr>
  </w:style>
  <w:style w:type="table" w:customStyle="1" w:styleId="Tablanormal1">
    <w:name w:val="Tabla normal1"/>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ipervnculo1">
    <w:name w:val="Hipervínculo1"/>
    <w:rPr>
      <w:color w:val="0000FF"/>
      <w:w w:val="100"/>
      <w:position w:val="-1"/>
      <w:u w:val="single"/>
      <w:vertAlign w:val="baseline"/>
      <w:cs w:val="0"/>
    </w:rPr>
  </w:style>
  <w:style w:type="character" w:customStyle="1" w:styleId="Ttulo1Car">
    <w:name w:val="Título 1 Car"/>
    <w:rPr>
      <w:rFonts w:ascii="Arial" w:hAnsi="Arial" w:cs="Arial"/>
      <w:b/>
      <w:w w:val="100"/>
      <w:position w:val="-1"/>
      <w:sz w:val="24"/>
      <w:szCs w:val="24"/>
      <w:vertAlign w:val="baseline"/>
      <w:cs w:val="0"/>
    </w:rPr>
  </w:style>
  <w:style w:type="character" w:customStyle="1" w:styleId="Ttulo2Car">
    <w:name w:val="Título 2 Car"/>
    <w:rPr>
      <w:rFonts w:ascii="Arial" w:hAnsi="Arial" w:cs="Arial"/>
      <w:w w:val="100"/>
      <w:position w:val="-1"/>
      <w:sz w:val="24"/>
      <w:szCs w:val="24"/>
      <w:vertAlign w:val="baseline"/>
      <w:cs w:val="0"/>
    </w:rPr>
  </w:style>
  <w:style w:type="character" w:customStyle="1" w:styleId="Ttulo3Car">
    <w:name w:val="Título 3 Car"/>
    <w:rPr>
      <w:rFonts w:ascii="Arial" w:hAnsi="Arial" w:cs="Arial"/>
      <w:w w:val="100"/>
      <w:position w:val="-1"/>
      <w:sz w:val="24"/>
      <w:szCs w:val="24"/>
      <w:vertAlign w:val="baseline"/>
      <w:cs w:val="0"/>
    </w:rPr>
  </w:style>
  <w:style w:type="paragraph" w:customStyle="1" w:styleId="Encabezado1">
    <w:name w:val="Encabezado1"/>
    <w:basedOn w:val="Normal"/>
    <w:qFormat/>
    <w:pPr>
      <w:spacing w:after="0" w:line="240" w:lineRule="auto"/>
    </w:pPr>
    <w:rPr>
      <w:rFonts w:cs="Times New Roman"/>
      <w:lang w:val="zh-CN" w:eastAsia="zh-CN"/>
    </w:rPr>
  </w:style>
  <w:style w:type="character" w:customStyle="1" w:styleId="EncabezadoCar">
    <w:name w:val="Encabezado Car"/>
    <w:rPr>
      <w:rFonts w:ascii="Arial" w:hAnsi="Arial" w:cs="Arial"/>
      <w:w w:val="100"/>
      <w:position w:val="-1"/>
      <w:sz w:val="24"/>
      <w:szCs w:val="24"/>
      <w:vertAlign w:val="baseline"/>
      <w:cs w:val="0"/>
    </w:rPr>
  </w:style>
  <w:style w:type="paragraph" w:customStyle="1" w:styleId="Piedepgina1">
    <w:name w:val="Pie de página1"/>
    <w:basedOn w:val="Normal"/>
    <w:qFormat/>
    <w:pPr>
      <w:spacing w:after="0" w:line="240" w:lineRule="auto"/>
    </w:pPr>
    <w:rPr>
      <w:rFonts w:cs="Times New Roman"/>
      <w:lang w:val="zh-CN" w:eastAsia="zh-CN"/>
    </w:rPr>
  </w:style>
  <w:style w:type="character" w:customStyle="1" w:styleId="PiedepginaCar">
    <w:name w:val="Pie de página Car"/>
    <w:rPr>
      <w:rFonts w:ascii="Arial" w:hAnsi="Arial" w:cs="Arial"/>
      <w:w w:val="100"/>
      <w:position w:val="-1"/>
      <w:sz w:val="24"/>
      <w:szCs w:val="24"/>
      <w:vertAlign w:val="baseline"/>
      <w:cs w:val="0"/>
    </w:rPr>
  </w:style>
  <w:style w:type="character" w:customStyle="1" w:styleId="Textoennegrita1">
    <w:name w:val="Texto en negrita1"/>
    <w:rPr>
      <w:b/>
      <w:bCs/>
      <w:w w:val="100"/>
      <w:position w:val="-1"/>
      <w:vertAlign w:val="baseline"/>
      <w:cs w:val="0"/>
    </w:rPr>
  </w:style>
  <w:style w:type="paragraph" w:customStyle="1" w:styleId="Textodeglobo1">
    <w:name w:val="Texto de globo1"/>
    <w:basedOn w:val="Normal"/>
    <w:qFormat/>
    <w:pPr>
      <w:spacing w:after="0" w:line="240" w:lineRule="auto"/>
    </w:pPr>
    <w:rPr>
      <w:rFonts w:ascii="Segoe UI" w:hAnsi="Segoe UI" w:cs="Times New Roman"/>
      <w:sz w:val="18"/>
      <w:szCs w:val="18"/>
      <w:lang w:val="zh-CN"/>
    </w:rPr>
  </w:style>
  <w:style w:type="character" w:customStyle="1" w:styleId="TextodegloboCar">
    <w:name w:val="Texto de globo Car"/>
    <w:rPr>
      <w:rFonts w:ascii="Segoe UI" w:hAnsi="Segoe UI" w:cs="Segoe UI"/>
      <w:w w:val="100"/>
      <w:position w:val="-1"/>
      <w:sz w:val="18"/>
      <w:szCs w:val="18"/>
      <w:vertAlign w:val="baseline"/>
      <w:cs w:val="0"/>
      <w:lang w:eastAsia="en-US"/>
    </w:rPr>
  </w:style>
  <w:style w:type="paragraph" w:styleId="Prrafodelista">
    <w:name w:val="List Paragraph"/>
    <w:basedOn w:val="Normal"/>
    <w:uiPriority w:val="34"/>
    <w:qFormat/>
    <w:rsid w:val="005B152F"/>
    <w:pPr>
      <w:ind w:left="720"/>
      <w:contextualSpacing/>
    </w:pPr>
  </w:style>
  <w:style w:type="character" w:styleId="Refdecomentario">
    <w:name w:val="annotation reference"/>
    <w:basedOn w:val="Fuentedeprrafopredeter"/>
    <w:uiPriority w:val="99"/>
    <w:semiHidden/>
    <w:unhideWhenUsed/>
    <w:rsid w:val="00BB3322"/>
    <w:rPr>
      <w:sz w:val="16"/>
      <w:szCs w:val="16"/>
    </w:rPr>
  </w:style>
  <w:style w:type="paragraph" w:styleId="Textocomentario">
    <w:name w:val="annotation text"/>
    <w:basedOn w:val="Normal"/>
    <w:link w:val="TextocomentarioCar"/>
    <w:uiPriority w:val="99"/>
    <w:semiHidden/>
    <w:unhideWhenUsed/>
    <w:rsid w:val="00BB33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322"/>
    <w:rPr>
      <w:position w:val="-1"/>
      <w:sz w:val="20"/>
      <w:szCs w:val="20"/>
      <w:lang w:val="es-AR" w:eastAsia="en-US"/>
    </w:rPr>
  </w:style>
  <w:style w:type="paragraph" w:styleId="Asuntodelcomentario">
    <w:name w:val="annotation subject"/>
    <w:basedOn w:val="Textocomentario"/>
    <w:next w:val="Textocomentario"/>
    <w:link w:val="AsuntodelcomentarioCar"/>
    <w:uiPriority w:val="99"/>
    <w:semiHidden/>
    <w:unhideWhenUsed/>
    <w:rsid w:val="00BB3322"/>
    <w:rPr>
      <w:b/>
      <w:bCs/>
    </w:rPr>
  </w:style>
  <w:style w:type="character" w:customStyle="1" w:styleId="AsuntodelcomentarioCar">
    <w:name w:val="Asunto del comentario Car"/>
    <w:basedOn w:val="TextocomentarioCar"/>
    <w:link w:val="Asuntodelcomentario"/>
    <w:uiPriority w:val="99"/>
    <w:semiHidden/>
    <w:rsid w:val="00BB3322"/>
    <w:rPr>
      <w:b/>
      <w:bCs/>
      <w:position w:val="-1"/>
      <w:sz w:val="20"/>
      <w:szCs w:val="20"/>
      <w:lang w:val="es-AR" w:eastAsia="en-US"/>
    </w:rPr>
  </w:style>
  <w:style w:type="paragraph" w:styleId="Textodeglobo">
    <w:name w:val="Balloon Text"/>
    <w:basedOn w:val="Normal"/>
    <w:link w:val="TextodegloboCar1"/>
    <w:uiPriority w:val="99"/>
    <w:semiHidden/>
    <w:unhideWhenUsed/>
    <w:rsid w:val="00BB3322"/>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BB3322"/>
    <w:rPr>
      <w:rFonts w:ascii="Segoe UI" w:hAnsi="Segoe UI" w:cs="Segoe UI"/>
      <w:position w:val="-1"/>
      <w:sz w:val="18"/>
      <w:szCs w:val="18"/>
      <w:lang w:val="es-AR" w:eastAsia="en-US"/>
    </w:rPr>
  </w:style>
  <w:style w:type="paragraph" w:styleId="Revisin">
    <w:name w:val="Revision"/>
    <w:hidden/>
    <w:uiPriority w:val="99"/>
    <w:semiHidden/>
    <w:rsid w:val="00CB7297"/>
    <w:pPr>
      <w:spacing w:after="0" w:line="240" w:lineRule="auto"/>
      <w:jc w:val="left"/>
    </w:pPr>
    <w:rPr>
      <w:position w:val="-1"/>
      <w:lang w:val="es-AR" w:eastAsia="en-US"/>
    </w:rPr>
  </w:style>
  <w:style w:type="character" w:styleId="Textoennegrita">
    <w:name w:val="Strong"/>
    <w:basedOn w:val="Fuentedeprrafopredeter"/>
    <w:uiPriority w:val="22"/>
    <w:qFormat/>
    <w:rsid w:val="000F7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Bll4Bqq8TYQufIZQdmZwh/agGA==">AMUW2mUULAkiMTXW0J1Ztfaun/coAvJLqXzK4DwEH2u2Ib2HhNxnYPy2tXEd4bppUvvMPL2PIMJlq0YpMJwpj/ZLwiTDwq8lTIRH1fgPQqOAMMfkqGkNvNk=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Gisela Melo</cp:lastModifiedBy>
  <cp:revision>3</cp:revision>
  <dcterms:created xsi:type="dcterms:W3CDTF">2022-08-10T02:21:00Z</dcterms:created>
  <dcterms:modified xsi:type="dcterms:W3CDTF">2022-08-10T02:28:00Z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B95319C71F704A60BD38D8598D8E9E4D</vt:lpwstr>
  </property>
</Properties>
</file>