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A4E" w14:textId="77777777" w:rsidR="00E15992" w:rsidRPr="00F87E86" w:rsidRDefault="00E15992" w:rsidP="00F87E86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Microcápsulas de aceite esencial de tomillo y su aplicación en películas comestibles: análisis del perfil de liberación de volátiles</w:t>
      </w:r>
    </w:p>
    <w:p w14:paraId="56780672" w14:textId="77777777" w:rsidR="00E15992" w:rsidRPr="00F87E86" w:rsidRDefault="00E15992" w:rsidP="00F87E86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59C2186" w14:textId="77777777" w:rsidR="00E15992" w:rsidRPr="00F87E86" w:rsidRDefault="00E15992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val="es-AR" w:eastAsia="es-ES"/>
        </w:rPr>
      </w:pPr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>Prieto MC.</w:t>
      </w:r>
      <w:r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1</w:t>
      </w:r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 xml:space="preserve">,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>Valentinuzzi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MC.</w:t>
      </w:r>
      <w:r w:rsidR="005F3415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2</w:t>
      </w:r>
      <w:r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,</w:t>
      </w:r>
      <w:r w:rsidR="005F3415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3</w:t>
      </w:r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>, Camiletti OF.</w:t>
      </w:r>
      <w:r w:rsidR="005F3415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4</w:t>
      </w:r>
      <w:r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,</w:t>
      </w:r>
      <w:r w:rsidR="005F3415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5</w:t>
      </w:r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 xml:space="preserve">, </w:t>
      </w:r>
      <w:proofErr w:type="spellStart"/>
      <w:r w:rsidR="00DB73F1" w:rsidRPr="00F87E86">
        <w:rPr>
          <w:rFonts w:ascii="Arial" w:eastAsia="Times New Roman" w:hAnsi="Arial" w:cs="Arial"/>
          <w:sz w:val="24"/>
          <w:szCs w:val="24"/>
          <w:lang w:val="es-AR" w:eastAsia="es-ES"/>
        </w:rPr>
        <w:t>Lambir</w:t>
      </w:r>
      <w:proofErr w:type="spellEnd"/>
      <w:r w:rsidR="00DB73F1" w:rsidRPr="00F87E86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Jacobo AJ.</w:t>
      </w:r>
      <w:r w:rsidR="00DB73F1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 xml:space="preserve"> 6</w:t>
      </w:r>
      <w:r w:rsidR="00DB73F1" w:rsidRPr="00F87E86">
        <w:rPr>
          <w:rFonts w:ascii="Arial" w:eastAsia="Times New Roman" w:hAnsi="Arial" w:cs="Arial"/>
          <w:sz w:val="24"/>
          <w:szCs w:val="24"/>
          <w:lang w:val="es-AR" w:eastAsia="es-ES"/>
        </w:rPr>
        <w:t xml:space="preserve">, </w:t>
      </w:r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>Alemán R.</w:t>
      </w:r>
      <w:r w:rsidR="005F3415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4</w:t>
      </w:r>
      <w:r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,</w:t>
      </w:r>
      <w:r w:rsidR="005F3415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5</w:t>
      </w:r>
      <w:r w:rsidRPr="00F87E86">
        <w:rPr>
          <w:rFonts w:ascii="Arial" w:eastAsia="Times New Roman" w:hAnsi="Arial" w:cs="Arial"/>
          <w:sz w:val="24"/>
          <w:szCs w:val="24"/>
          <w:lang w:val="es-AR" w:eastAsia="es-ES"/>
        </w:rPr>
        <w:t>, Grosso NR.</w:t>
      </w:r>
      <w:r w:rsidR="005F3415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5</w:t>
      </w:r>
      <w:r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,</w:t>
      </w:r>
      <w:r w:rsidR="00DB73F1" w:rsidRPr="00F87E86">
        <w:rPr>
          <w:rFonts w:ascii="Arial" w:eastAsia="Times New Roman" w:hAnsi="Arial" w:cs="Arial"/>
          <w:sz w:val="24"/>
          <w:szCs w:val="24"/>
          <w:vertAlign w:val="superscript"/>
          <w:lang w:val="es-AR" w:eastAsia="es-ES"/>
        </w:rPr>
        <w:t>7</w:t>
      </w:r>
    </w:p>
    <w:p w14:paraId="61BEF0E9" w14:textId="77777777" w:rsidR="00E15992" w:rsidRPr="00F87E86" w:rsidRDefault="00E15992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1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>Instituto de Botánica del Nordeste (IBONE – UNNE), CONICET.</w:t>
      </w:r>
    </w:p>
    <w:p w14:paraId="752D15AD" w14:textId="77777777" w:rsidR="005F3415" w:rsidRPr="00F87E86" w:rsidRDefault="005F3415" w:rsidP="00F87E8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2</w:t>
      </w:r>
      <w:r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Universidad Nacional de Córdoba. Facultad de Ciencias Agropecuarias. Departamento de Ingeniería y Mecanización Rural. Cátedra de Física.</w:t>
      </w:r>
    </w:p>
    <w:p w14:paraId="5DA5716D" w14:textId="77777777" w:rsidR="005F3415" w:rsidRPr="00F87E86" w:rsidRDefault="005F3415" w:rsidP="00F87E8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3</w:t>
      </w:r>
      <w:r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IFEG-CONICET</w:t>
      </w:r>
    </w:p>
    <w:p w14:paraId="2EFD4BE0" w14:textId="77777777" w:rsidR="005F3415" w:rsidRPr="00F87E86" w:rsidRDefault="005F3415" w:rsidP="00F87E8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4</w:t>
      </w:r>
      <w:r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Universidad Nacional de Córdoba. Facultad de Ciencias Agropecuarias. Departamento de </w:t>
      </w:r>
      <w:proofErr w:type="spellStart"/>
      <w:r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Agroalimentos</w:t>
      </w:r>
      <w:proofErr w:type="spellEnd"/>
      <w:r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</w:p>
    <w:p w14:paraId="46548BB8" w14:textId="77777777" w:rsidR="00E15992" w:rsidRPr="00F87E86" w:rsidRDefault="005F3415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5</w:t>
      </w:r>
      <w:r w:rsidR="00E15992" w:rsidRPr="00F87E86">
        <w:rPr>
          <w:rFonts w:ascii="Arial" w:eastAsia="Times New Roman" w:hAnsi="Arial" w:cs="Arial"/>
          <w:sz w:val="24"/>
          <w:szCs w:val="24"/>
          <w:lang w:eastAsia="es-ES"/>
        </w:rPr>
        <w:t>Instituto Multidisciplinario de Biología Vegetal (IMBIV – UNC), CONICET </w:t>
      </w:r>
    </w:p>
    <w:p w14:paraId="3480E64A" w14:textId="77777777" w:rsidR="00DB73F1" w:rsidRPr="00F87E86" w:rsidRDefault="00DB73F1" w:rsidP="00F87E86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6</w:t>
      </w:r>
      <w:r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Universidad Nacional de Córdoba. Facultad de Ciencias Agropecuarias. Departamento de Producción Vegetal. Cátedra de Industrias agrícolas.</w:t>
      </w:r>
    </w:p>
    <w:p w14:paraId="500F738F" w14:textId="77777777" w:rsidR="005F3415" w:rsidRPr="00F87E86" w:rsidRDefault="00DB73F1" w:rsidP="00F87E86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vertAlign w:val="superscript"/>
          <w:lang w:eastAsia="es-ES"/>
        </w:rPr>
        <w:t>7</w:t>
      </w:r>
      <w:r w:rsidR="005F3415"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Universidad Nacional de Córdoba. Facultad de Ciencias Agropecuarias. Departamento de Fundamentación Biológica. Cátedra de Química </w:t>
      </w:r>
      <w:r w:rsidR="00391E0B"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Biológica</w:t>
      </w:r>
      <w:r w:rsidR="005F3415" w:rsidRPr="00F87E8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</w:p>
    <w:p w14:paraId="7BD10425" w14:textId="77777777" w:rsidR="005F3415" w:rsidRPr="00F87E86" w:rsidRDefault="005F3415" w:rsidP="00F87E8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14:paraId="1C98FF6C" w14:textId="77777777" w:rsidR="00E15992" w:rsidRPr="00F87E86" w:rsidRDefault="00E15992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lang w:eastAsia="es-ES"/>
        </w:rPr>
        <w:t>prietomc@agro.unc.edu.ar</w:t>
      </w:r>
    </w:p>
    <w:p w14:paraId="348B8F01" w14:textId="77777777" w:rsidR="00E15992" w:rsidRPr="00F87E86" w:rsidRDefault="00000000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hyperlink r:id="rId6" w:history="1">
        <w:r w:rsidR="00E15992" w:rsidRPr="00F87E86">
          <w:rPr>
            <w:rFonts w:ascii="Arial" w:eastAsia="Times New Roman" w:hAnsi="Arial" w:cs="Arial"/>
            <w:sz w:val="24"/>
            <w:szCs w:val="24"/>
            <w:lang w:eastAsia="es-ES"/>
          </w:rPr>
          <w:t>mcvalentinuzzi@agro.unc.edu.ar</w:t>
        </w:r>
      </w:hyperlink>
    </w:p>
    <w:p w14:paraId="68F9D8C0" w14:textId="77777777" w:rsidR="00E15992" w:rsidRPr="00F87E86" w:rsidRDefault="00000000" w:rsidP="00F87E86">
      <w:pPr>
        <w:spacing w:line="240" w:lineRule="auto"/>
        <w:rPr>
          <w:rFonts w:ascii="Arial" w:hAnsi="Arial" w:cs="Arial"/>
          <w:sz w:val="24"/>
          <w:szCs w:val="24"/>
        </w:rPr>
      </w:pPr>
      <w:hyperlink r:id="rId7" w:history="1">
        <w:r w:rsidR="00E15992" w:rsidRPr="00F87E86">
          <w:rPr>
            <w:rFonts w:ascii="Arial" w:eastAsia="Times New Roman" w:hAnsi="Arial" w:cs="Arial"/>
            <w:sz w:val="24"/>
            <w:szCs w:val="24"/>
            <w:lang w:eastAsia="es-ES"/>
          </w:rPr>
          <w:t>ornella.camiletti@agro.unc.edu.ar</w:t>
        </w:r>
      </w:hyperlink>
    </w:p>
    <w:p w14:paraId="53FD3137" w14:textId="77777777" w:rsidR="00DB73F1" w:rsidRPr="00F87E86" w:rsidRDefault="00DB73F1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F87E86">
        <w:rPr>
          <w:rFonts w:ascii="Arial" w:hAnsi="Arial" w:cs="Arial"/>
          <w:sz w:val="24"/>
          <w:szCs w:val="24"/>
        </w:rPr>
        <w:t>judithlj@agro.unc.edu.ar</w:t>
      </w:r>
    </w:p>
    <w:p w14:paraId="3355E14D" w14:textId="77777777" w:rsidR="00E15992" w:rsidRPr="00F87E86" w:rsidRDefault="00000000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hyperlink r:id="rId8" w:history="1">
        <w:r w:rsidR="00E15992" w:rsidRPr="00F87E86">
          <w:rPr>
            <w:rFonts w:ascii="Arial" w:eastAsia="Times New Roman" w:hAnsi="Arial" w:cs="Arial"/>
            <w:sz w:val="24"/>
            <w:szCs w:val="24"/>
            <w:lang w:eastAsia="es-ES"/>
          </w:rPr>
          <w:t>raleman@agro.unc.edu.ar</w:t>
        </w:r>
      </w:hyperlink>
    </w:p>
    <w:p w14:paraId="00B1040B" w14:textId="77777777" w:rsidR="00E15992" w:rsidRPr="00F87E86" w:rsidRDefault="00E15992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lang w:eastAsia="es-ES"/>
        </w:rPr>
        <w:t>nrgrosso@agro.unc.edu.ar</w:t>
      </w:r>
    </w:p>
    <w:p w14:paraId="21F4CEE6" w14:textId="77777777" w:rsidR="00E15992" w:rsidRPr="00F87E86" w:rsidRDefault="00E15992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7B20A2C" w14:textId="77777777" w:rsidR="00E15992" w:rsidRPr="00F87E86" w:rsidRDefault="00E15992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F87E86">
        <w:rPr>
          <w:rFonts w:ascii="Arial" w:eastAsia="Times New Roman" w:hAnsi="Arial" w:cs="Arial"/>
          <w:sz w:val="24"/>
          <w:szCs w:val="24"/>
          <w:lang w:eastAsia="es-ES"/>
        </w:rPr>
        <w:t>El aceite esencial (AE) de tomillo (</w:t>
      </w:r>
      <w:proofErr w:type="spellStart"/>
      <w:r w:rsidRPr="00F87E8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Thymus</w:t>
      </w:r>
      <w:proofErr w:type="spellEnd"/>
      <w:r w:rsidRPr="00F87E8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</w:t>
      </w:r>
      <w:proofErr w:type="spellStart"/>
      <w:r w:rsidRPr="00F87E8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vulgaris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L.) es reconocido por sus propiedades antioxidantes y antimicrobianas. Estas propiedades lo convierten en una alternativa natural </w:t>
      </w:r>
      <w:r w:rsidR="0097763B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en reemplazo 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>de preservantes sintéticos en alimentos.</w:t>
      </w:r>
      <w:r w:rsidR="00391E0B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7763B" w:rsidRPr="00F87E86">
        <w:rPr>
          <w:rFonts w:ascii="Arial" w:eastAsia="Times New Roman" w:hAnsi="Arial" w:cs="Arial"/>
          <w:sz w:val="24"/>
          <w:szCs w:val="24"/>
          <w:lang w:eastAsia="es-ES"/>
        </w:rPr>
        <w:t>Para preservar sus propiedades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97763B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estos compuestos pueden </w:t>
      </w:r>
      <w:r w:rsidR="00755119" w:rsidRPr="00F87E86">
        <w:rPr>
          <w:rFonts w:ascii="Arial" w:eastAsia="Times New Roman" w:hAnsi="Arial" w:cs="Arial"/>
          <w:sz w:val="24"/>
          <w:szCs w:val="24"/>
          <w:lang w:eastAsia="es-ES"/>
        </w:rPr>
        <w:t>aplicarse a matrices alimenticias incluidos en</w:t>
      </w:r>
      <w:r w:rsidR="004B635C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microcápsulas (MC). La microencapsulación protege los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AEs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de la degradación y permite una liberación gradual de sus compuestos volátiles, </w:t>
      </w:r>
      <w:r w:rsidR="00755119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prolongando 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su actividad en el tiempo. Por otro lado, las películas comestibles (PC) son </w:t>
      </w:r>
      <w:r w:rsidR="00755119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estructuras 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>continuas que funcionan como una barrera protectora contra daños físicos, químicos y microbiológicos. Con el fin de desarrollar nuevas herramientas para la preservación de alimentos, el presente trabajo propone incorporar MC de AE de tomillo en PC y evaluar el perfil de liberación de volátiles de sus principales compuestos bioactivos a lo largo del tiempo. Las MC se prepararon utilizando una relación 2:1 entre material de pared (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hidroxipropil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metilcelulosa y maltodextrina) y material núcleo (90% de aceite de maní y 10% de AE de tomillo), y </w:t>
      </w:r>
      <w:r w:rsidR="00391E0B" w:rsidRPr="00F87E86">
        <w:rPr>
          <w:rFonts w:ascii="Arial" w:eastAsia="Times New Roman" w:hAnsi="Arial" w:cs="Arial"/>
          <w:sz w:val="24"/>
          <w:szCs w:val="24"/>
          <w:lang w:eastAsia="es-ES"/>
        </w:rPr>
        <w:t>fueron conservadas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en freezer (-20 °C) hasta su utilización. La solución filmogénica se obtuvo mezclando harina de girasol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deslipidizada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(74,11%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ps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>/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ps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), glicerol (25,89%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ps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>/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ps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) y agua destilada (bajo agitación </w:t>
      </w:r>
      <w:commentRangeStart w:id="0"/>
      <w:commentRangeStart w:id="1"/>
      <w:commentRangeStart w:id="2"/>
      <w:r w:rsidRPr="00F87E86">
        <w:rPr>
          <w:rFonts w:ascii="Arial" w:eastAsia="Times New Roman" w:hAnsi="Arial" w:cs="Arial"/>
          <w:sz w:val="24"/>
          <w:szCs w:val="24"/>
          <w:lang w:eastAsia="es-ES"/>
        </w:rPr>
        <w:t>constante</w:t>
      </w:r>
      <w:commentRangeEnd w:id="0"/>
      <w:r w:rsidR="009F5592">
        <w:rPr>
          <w:rStyle w:val="Refdecomentario"/>
        </w:rPr>
        <w:commentReference w:id="0"/>
      </w:r>
      <w:commentRangeEnd w:id="1"/>
      <w:r w:rsidR="00422018">
        <w:rPr>
          <w:rStyle w:val="Refdecomentario"/>
        </w:rPr>
        <w:commentReference w:id="1"/>
      </w:r>
      <w:commentRangeEnd w:id="2"/>
      <w:r w:rsidR="00422018">
        <w:rPr>
          <w:rStyle w:val="Refdecomentario"/>
        </w:rPr>
        <w:commentReference w:id="2"/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, 75 °C y pH 9). Las MC se </w:t>
      </w:r>
      <w:r w:rsidR="00C44227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agregaron 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en dos concentraciones (3% y 8%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ps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>/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ps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). Se colocaron 10 y 12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mL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de cada solución en moldes de 5 cm de diámetro, </w:t>
      </w:r>
      <w:r w:rsidR="00C44227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las cuales 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se dejaron secar a 23 °C por 24 h, hasta formar las PC. Para evaluar la liberación de volátiles se almacenaron </w:t>
      </w:r>
      <w:r w:rsidR="004B635C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durante 31 días 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0,20 g de cada película en viales de 10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mL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tapados con Parafilm. Cada 10 días se extrajeron muestras de películas</w:t>
      </w:r>
      <w:r w:rsidR="00C44227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para </w:t>
      </w:r>
      <w:r w:rsidR="00391E0B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ser </w:t>
      </w:r>
      <w:r w:rsidR="004B635C"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evaluadas </w:t>
      </w:r>
      <w:r w:rsidR="00391E0B" w:rsidRPr="00F87E86">
        <w:rPr>
          <w:rFonts w:ascii="Arial" w:eastAsia="Times New Roman" w:hAnsi="Arial" w:cs="Arial"/>
          <w:sz w:val="24"/>
          <w:szCs w:val="24"/>
          <w:lang w:eastAsia="es-ES"/>
        </w:rPr>
        <w:t>por medio de GC-MS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. Los datos obtenidos se analizaron estadísticamente utilizando los test Kruskal-Wallis y análisis multivariado (MANOVA). Los resultados mostraron una 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liberación de volátiles abundante y constante (p&gt;0,05) a lo largo de los 31 días para todos los tratamientos, a excepción del compuesto timol en el tratamiento con 8% de MC y PC de 12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mL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>. En estas muestras, los valores máximos se observaron en el día 0</w:t>
      </w:r>
      <w:r w:rsidR="00391E0B" w:rsidRPr="00F87E86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decrecie</w:t>
      </w:r>
      <w:r w:rsidR="00391E0B" w:rsidRPr="00F87E86">
        <w:rPr>
          <w:rFonts w:ascii="Arial" w:eastAsia="Times New Roman" w:hAnsi="Arial" w:cs="Arial"/>
          <w:sz w:val="24"/>
          <w:szCs w:val="24"/>
          <w:lang w:eastAsia="es-ES"/>
        </w:rPr>
        <w:t>n</w:t>
      </w:r>
      <w:r w:rsidR="00CE30F7" w:rsidRPr="00F87E86">
        <w:rPr>
          <w:rFonts w:ascii="Arial" w:eastAsia="Times New Roman" w:hAnsi="Arial" w:cs="Arial"/>
          <w:sz w:val="24"/>
          <w:szCs w:val="24"/>
          <w:lang w:eastAsia="es-ES"/>
        </w:rPr>
        <w:t>do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gradualmente hacia el día 31, momento en el que se redujeron a la mitad. Durante el almacenaje, la liberación de volátiles mostró diferencias significativas entre los tratamientos 3% de MC (PC de 10 y 12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mL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) y 8% de MC (PC de 10 y 12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mL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>) para timol y o-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cimeno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y entre 3% MC-PC 10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mL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y 8% MC-PC 12 </w:t>
      </w:r>
      <w:proofErr w:type="spellStart"/>
      <w:r w:rsidRPr="00F87E86">
        <w:rPr>
          <w:rFonts w:ascii="Arial" w:eastAsia="Times New Roman" w:hAnsi="Arial" w:cs="Arial"/>
          <w:sz w:val="24"/>
          <w:szCs w:val="24"/>
          <w:lang w:eastAsia="es-ES"/>
        </w:rPr>
        <w:t>mL</w:t>
      </w:r>
      <w:proofErr w:type="spellEnd"/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para carvacrol. Se concluye que la liberación de compuestos volátiles es abundante para todos los </w:t>
      </w:r>
      <w:r w:rsidR="004B635C" w:rsidRPr="00F87E86">
        <w:rPr>
          <w:rFonts w:ascii="Arial" w:eastAsia="Times New Roman" w:hAnsi="Arial" w:cs="Arial"/>
          <w:sz w:val="24"/>
          <w:szCs w:val="24"/>
          <w:lang w:eastAsia="es-ES"/>
        </w:rPr>
        <w:t>tratamientos. Un</w:t>
      </w: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 mayor contenido de MC en las PC proporciona mayor liberación de estos compuestos, lo cual podría ayudar a potenciar su bioactividad.</w:t>
      </w:r>
    </w:p>
    <w:p w14:paraId="143D1D4E" w14:textId="77777777" w:rsidR="004B635C" w:rsidRPr="00F87E86" w:rsidRDefault="004B635C" w:rsidP="00F87E86">
      <w:pPr>
        <w:spacing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799F6EE" w14:textId="77777777" w:rsidR="00A70838" w:rsidRPr="00F87E86" w:rsidRDefault="00E15992" w:rsidP="00F87E86">
      <w:pPr>
        <w:spacing w:line="240" w:lineRule="auto"/>
        <w:rPr>
          <w:rFonts w:ascii="Arial" w:hAnsi="Arial" w:cs="Arial"/>
          <w:sz w:val="24"/>
          <w:szCs w:val="24"/>
        </w:rPr>
      </w:pPr>
      <w:r w:rsidRPr="00F87E86">
        <w:rPr>
          <w:rFonts w:ascii="Arial" w:eastAsia="Times New Roman" w:hAnsi="Arial" w:cs="Arial"/>
          <w:sz w:val="24"/>
          <w:szCs w:val="24"/>
          <w:lang w:eastAsia="es-ES"/>
        </w:rPr>
        <w:t xml:space="preserve">Palabras clave: preservación natural, alimentos, </w:t>
      </w:r>
      <w:proofErr w:type="spellStart"/>
      <w:r w:rsidRPr="00F87E8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Thymus</w:t>
      </w:r>
      <w:proofErr w:type="spellEnd"/>
      <w:r w:rsidRPr="00F87E8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</w:t>
      </w:r>
      <w:proofErr w:type="spellStart"/>
      <w:r w:rsidRPr="00F87E8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vulgaris</w:t>
      </w:r>
      <w:proofErr w:type="spellEnd"/>
    </w:p>
    <w:sectPr w:rsidR="00A70838" w:rsidRPr="00F87E86" w:rsidSect="00A70838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gustin Gonzalez" w:date="2022-08-18T12:30:00Z" w:initials="AG">
    <w:p w14:paraId="571E0DEE" w14:textId="30576217" w:rsidR="009F5592" w:rsidRDefault="009F5592">
      <w:pPr>
        <w:pStyle w:val="Textocomentario"/>
      </w:pPr>
      <w:r>
        <w:rPr>
          <w:rStyle w:val="Refdecomentario"/>
        </w:rPr>
        <w:annotationRef/>
      </w:r>
      <w:r>
        <w:t xml:space="preserve"> No se produce la </w:t>
      </w:r>
      <w:proofErr w:type="spellStart"/>
      <w:r>
        <w:t>redispersión</w:t>
      </w:r>
      <w:proofErr w:type="spellEnd"/>
      <w:r>
        <w:t xml:space="preserve"> del material de pared de las MC cuando se las </w:t>
      </w:r>
      <w:proofErr w:type="spellStart"/>
      <w:r>
        <w:t>agraga</w:t>
      </w:r>
      <w:proofErr w:type="spellEnd"/>
      <w:r>
        <w:t xml:space="preserve"> a la solución filmogénica? </w:t>
      </w:r>
    </w:p>
  </w:comment>
  <w:comment w:id="1" w:author="Ornella Camiletti" w:date="2022-08-22T11:28:00Z" w:initials="OC">
    <w:p w14:paraId="6E9E154C" w14:textId="0B9D0C95" w:rsidR="00422018" w:rsidRDefault="00422018">
      <w:pPr>
        <w:pStyle w:val="Textocomentario"/>
      </w:pPr>
      <w:r>
        <w:rPr>
          <w:rStyle w:val="Refdecomentario"/>
        </w:rPr>
        <w:annotationRef/>
      </w:r>
      <w:r w:rsidRPr="00422018">
        <w:t xml:space="preserve">es probable, ya que cuando realizamos microfotografías las películas se vieron homogéneas. La aplicación del AE en microcápsulas la realizamos de esta forma debido a que ayuda protegerlo de la degradación hasta el momento de su incorporación en la matriz, y ayuda a dispersarlo de manera homogénea en toda la película (tener en cuenta que por cada gramo de cápsulas hay 0,33 g de AE), que sería muy difícil de dispersar homogéneamente si fuera aplicado directamente. Además, la incorporación del material de pared de las MC mejora las características de las películas. Estos datos no </w:t>
      </w:r>
      <w:r>
        <w:t xml:space="preserve">fueron </w:t>
      </w:r>
      <w:r w:rsidRPr="00422018">
        <w:t>agregados ya que están fuera del alcance de los objetivos de este resumen.</w:t>
      </w:r>
    </w:p>
  </w:comment>
  <w:comment w:id="2" w:author="Ornella Camiletti" w:date="2022-08-22T11:28:00Z" w:initials="OC">
    <w:p w14:paraId="22F855F8" w14:textId="2C06DA85" w:rsidR="00422018" w:rsidRDefault="00422018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1E0DEE" w15:done="0"/>
  <w15:commentEx w15:paraId="6E9E154C" w15:paraIdParent="571E0DEE" w15:done="0"/>
  <w15:commentEx w15:paraId="22F855F8" w15:paraIdParent="571E0D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3F44B" w16cex:dateUtc="2022-07-21T18:50:00Z"/>
  <w16cex:commentExtensible w16cex:durableId="26ADE6D0" w16cex:dateUtc="2022-08-22T14:28:00Z"/>
  <w16cex:commentExtensible w16cex:durableId="26ADE6F6" w16cex:dateUtc="2022-08-22T1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1E0DEE" w16cid:durableId="2683F44B"/>
  <w16cid:commentId w16cid:paraId="6E9E154C" w16cid:durableId="26ADE6D0"/>
  <w16cid:commentId w16cid:paraId="22F855F8" w16cid:durableId="26ADE6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90902" w14:textId="77777777" w:rsidR="00925C4C" w:rsidRDefault="00925C4C" w:rsidP="00F87E86">
      <w:pPr>
        <w:spacing w:line="240" w:lineRule="auto"/>
      </w:pPr>
      <w:r>
        <w:separator/>
      </w:r>
    </w:p>
  </w:endnote>
  <w:endnote w:type="continuationSeparator" w:id="0">
    <w:p w14:paraId="58BB5FDA" w14:textId="77777777" w:rsidR="00925C4C" w:rsidRDefault="00925C4C" w:rsidP="00F87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7B994" w14:textId="77777777" w:rsidR="00925C4C" w:rsidRDefault="00925C4C" w:rsidP="00F87E86">
      <w:pPr>
        <w:spacing w:line="240" w:lineRule="auto"/>
      </w:pPr>
      <w:r>
        <w:separator/>
      </w:r>
    </w:p>
  </w:footnote>
  <w:footnote w:type="continuationSeparator" w:id="0">
    <w:p w14:paraId="36165125" w14:textId="77777777" w:rsidR="00925C4C" w:rsidRDefault="00925C4C" w:rsidP="00F87E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444E" w14:textId="77777777" w:rsidR="00F87E86" w:rsidRDefault="00F87E86" w:rsidP="00F87E86">
    <w:pPr>
      <w:pBdr>
        <w:top w:val="nil"/>
        <w:left w:val="nil"/>
        <w:bottom w:val="single" w:sz="4" w:space="1" w:color="000000"/>
        <w:right w:val="nil"/>
        <w:between w:val="nil"/>
      </w:pBdr>
      <w:spacing w:line="240" w:lineRule="auto"/>
      <w:ind w:hanging="2"/>
      <w:jc w:val="right"/>
      <w:rPr>
        <w:color w:val="000000"/>
      </w:rPr>
    </w:pPr>
    <w:r>
      <w:rPr>
        <w:rFonts w:ascii="Arial" w:eastAsia="Arial" w:hAnsi="Arial" w:cs="Arial"/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rFonts w:ascii="Arial" w:eastAsia="Arial" w:hAnsi="Arial" w:cs="Arial"/>
        <w:b/>
        <w:i/>
        <w:color w:val="000000"/>
        <w:sz w:val="18"/>
        <w:szCs w:val="18"/>
        <w:highlight w:val="white"/>
      </w:rPr>
      <w:t>)</w:t>
    </w: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hidden="0" allowOverlap="1" wp14:anchorId="046E65AB" wp14:editId="1A3EF20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9C8860" w14:textId="77777777" w:rsidR="00F87E86" w:rsidRDefault="00F87E86">
    <w:pPr>
      <w:pStyle w:val="Encabezad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ustin Gonzalez">
    <w15:presenceInfo w15:providerId="Windows Live" w15:userId="3417880eb394ea57"/>
  </w15:person>
  <w15:person w15:author="Ornella Camiletti">
    <w15:presenceInfo w15:providerId="Windows Live" w15:userId="ef4bbfb576408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92"/>
    <w:rsid w:val="002311FB"/>
    <w:rsid w:val="002C0FC2"/>
    <w:rsid w:val="002F7283"/>
    <w:rsid w:val="00391E0B"/>
    <w:rsid w:val="003A0020"/>
    <w:rsid w:val="00422018"/>
    <w:rsid w:val="004B635C"/>
    <w:rsid w:val="0053754E"/>
    <w:rsid w:val="005639CD"/>
    <w:rsid w:val="005B5538"/>
    <w:rsid w:val="005F3415"/>
    <w:rsid w:val="0066176A"/>
    <w:rsid w:val="00726549"/>
    <w:rsid w:val="00755119"/>
    <w:rsid w:val="008441B3"/>
    <w:rsid w:val="00925C4C"/>
    <w:rsid w:val="0097763B"/>
    <w:rsid w:val="009F5592"/>
    <w:rsid w:val="00A70838"/>
    <w:rsid w:val="00B20404"/>
    <w:rsid w:val="00C32B0D"/>
    <w:rsid w:val="00C44227"/>
    <w:rsid w:val="00C507C2"/>
    <w:rsid w:val="00CE30F7"/>
    <w:rsid w:val="00D4394E"/>
    <w:rsid w:val="00DB73F1"/>
    <w:rsid w:val="00E15992"/>
    <w:rsid w:val="00F87E86"/>
    <w:rsid w:val="00FB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FA709"/>
  <w15:docId w15:val="{E069C04C-F57A-43F9-A44F-EFB06A8E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59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1599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776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76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76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76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763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763B"/>
    <w:pPr>
      <w:spacing w:line="240" w:lineRule="auto"/>
      <w:jc w:val="lef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1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E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87E8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E86"/>
  </w:style>
  <w:style w:type="paragraph" w:styleId="Piedepgina">
    <w:name w:val="footer"/>
    <w:basedOn w:val="Normal"/>
    <w:link w:val="PiedepginaCar"/>
    <w:uiPriority w:val="99"/>
    <w:unhideWhenUsed/>
    <w:rsid w:val="00F87E8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eman@agro.unc.edu.a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rnella.camiletti@agro.unc.edu.ar" TargetMode="Externa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cvalentinuzzi@agro.unc.edu.ar" TargetMode="Externa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</dc:creator>
  <cp:lastModifiedBy>Ornella Camiletti</cp:lastModifiedBy>
  <cp:revision>2</cp:revision>
  <dcterms:created xsi:type="dcterms:W3CDTF">2022-08-22T14:29:00Z</dcterms:created>
  <dcterms:modified xsi:type="dcterms:W3CDTF">2022-08-22T14:29:00Z</dcterms:modified>
</cp:coreProperties>
</file>