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BC" w:rsidRDefault="009719E0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Determinación de actividad antioxidante y antimicrobiana de extractos de frutas tropicales del nordeste Argentino (NEA)</w:t>
      </w:r>
    </w:p>
    <w:p w:rsidR="00AD3BBC" w:rsidRDefault="009719E0">
      <w:pPr>
        <w:spacing w:line="240" w:lineRule="auto"/>
        <w:jc w:val="center"/>
        <w:rPr>
          <w:sz w:val="24"/>
          <w:szCs w:val="24"/>
          <w:vertAlign w:val="superscript"/>
        </w:rPr>
      </w:pPr>
      <w:proofErr w:type="spellStart"/>
      <w:r>
        <w:rPr>
          <w:sz w:val="24"/>
          <w:szCs w:val="24"/>
        </w:rPr>
        <w:t>Kupervaser</w:t>
      </w:r>
      <w:proofErr w:type="spellEnd"/>
      <w:r>
        <w:rPr>
          <w:sz w:val="24"/>
          <w:szCs w:val="24"/>
        </w:rPr>
        <w:t xml:space="preserve"> María Gabriela (1), </w:t>
      </w:r>
      <w:proofErr w:type="spellStart"/>
      <w:r>
        <w:rPr>
          <w:sz w:val="24"/>
          <w:szCs w:val="24"/>
        </w:rPr>
        <w:t>Traffano-Schiffo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Maria</w:t>
      </w:r>
      <w:proofErr w:type="spellEnd"/>
      <w:r>
        <w:rPr>
          <w:sz w:val="24"/>
          <w:szCs w:val="24"/>
        </w:rPr>
        <w:t xml:space="preserve"> Victoria (2), </w:t>
      </w:r>
      <w:proofErr w:type="spellStart"/>
      <w:r>
        <w:rPr>
          <w:sz w:val="24"/>
          <w:szCs w:val="24"/>
        </w:rPr>
        <w:t>FloresSilvia</w:t>
      </w:r>
      <w:proofErr w:type="spellEnd"/>
      <w:r>
        <w:rPr>
          <w:sz w:val="24"/>
          <w:szCs w:val="24"/>
        </w:rPr>
        <w:t xml:space="preserve"> Karina (3, 4), Sosa Carola Andrea (1)</w:t>
      </w:r>
    </w:p>
    <w:p w:rsidR="00AD3BBC" w:rsidRDefault="00AD3BBC">
      <w:pPr>
        <w:spacing w:line="240" w:lineRule="auto"/>
        <w:jc w:val="center"/>
        <w:rPr>
          <w:b/>
          <w:sz w:val="24"/>
          <w:szCs w:val="24"/>
          <w:vertAlign w:val="superscript"/>
        </w:rPr>
      </w:pPr>
    </w:p>
    <w:p w:rsidR="00AD3BBC" w:rsidRDefault="009719E0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sz w:val="24"/>
          <w:szCs w:val="24"/>
        </w:rPr>
        <w:t xml:space="preserve"> Grupo de Investigación en Biotecnología y Alimentos (</w:t>
      </w:r>
      <w:proofErr w:type="spellStart"/>
      <w:r>
        <w:rPr>
          <w:sz w:val="24"/>
          <w:szCs w:val="24"/>
        </w:rPr>
        <w:t>BIOTEC</w:t>
      </w:r>
      <w:proofErr w:type="spellEnd"/>
      <w:r>
        <w:rPr>
          <w:sz w:val="24"/>
          <w:szCs w:val="24"/>
        </w:rPr>
        <w:t>), Universidad Tecnológica Nacional. Facultad Regional Resistencia. French 414, 3500, Resistencia, Chaco, Argentina.</w:t>
      </w:r>
    </w:p>
    <w:p w:rsidR="00AD3BBC" w:rsidRDefault="009719E0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Instituto de Química Básica y Aplicada del Nordeste Argentino, </w:t>
      </w:r>
      <w:proofErr w:type="spellStart"/>
      <w:r>
        <w:rPr>
          <w:sz w:val="24"/>
          <w:szCs w:val="24"/>
        </w:rPr>
        <w:t>IQUIBA</w:t>
      </w:r>
      <w:proofErr w:type="spellEnd"/>
      <w:r>
        <w:rPr>
          <w:sz w:val="24"/>
          <w:szCs w:val="24"/>
        </w:rPr>
        <w:t xml:space="preserve">-NEA, </w:t>
      </w:r>
      <w:proofErr w:type="spellStart"/>
      <w:r>
        <w:rPr>
          <w:sz w:val="24"/>
          <w:szCs w:val="24"/>
        </w:rPr>
        <w:t>UNNE</w:t>
      </w:r>
      <w:proofErr w:type="spellEnd"/>
      <w:r>
        <w:rPr>
          <w:sz w:val="24"/>
          <w:szCs w:val="24"/>
        </w:rPr>
        <w:t>-CONICET, Avenida Libertad 5460, 3400 Corrientes, Argentina.</w:t>
      </w:r>
    </w:p>
    <w:p w:rsidR="00AD3BBC" w:rsidRDefault="009719E0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(3) Universidad de Buenos Aires (</w:t>
      </w:r>
      <w:proofErr w:type="spellStart"/>
      <w:r>
        <w:rPr>
          <w:sz w:val="24"/>
          <w:szCs w:val="24"/>
        </w:rPr>
        <w:t>UBA</w:t>
      </w:r>
      <w:proofErr w:type="spellEnd"/>
      <w:r>
        <w:rPr>
          <w:sz w:val="24"/>
          <w:szCs w:val="24"/>
        </w:rPr>
        <w:t>), Facultad de Ciencias Exactas y Naturales (</w:t>
      </w:r>
      <w:proofErr w:type="spellStart"/>
      <w:r>
        <w:rPr>
          <w:sz w:val="24"/>
          <w:szCs w:val="24"/>
        </w:rPr>
        <w:t>FCEN</w:t>
      </w:r>
      <w:proofErr w:type="spellEnd"/>
      <w:r>
        <w:rPr>
          <w:sz w:val="24"/>
          <w:szCs w:val="24"/>
        </w:rPr>
        <w:t>), Departamento de Industrias, Intendente Güiraldes 2160, (1428), Ciudad Autónoma de Buenos Aires, Argenti</w:t>
      </w:r>
      <w:r>
        <w:rPr>
          <w:sz w:val="24"/>
          <w:szCs w:val="24"/>
        </w:rPr>
        <w:t>na.</w:t>
      </w:r>
    </w:p>
    <w:p w:rsidR="00AD3BBC" w:rsidRDefault="009719E0">
      <w:pPr>
        <w:spacing w:after="120" w:line="240" w:lineRule="auto"/>
        <w:jc w:val="both"/>
        <w:rPr>
          <w:sz w:val="26"/>
          <w:szCs w:val="26"/>
        </w:rPr>
      </w:pPr>
      <w:r>
        <w:rPr>
          <w:sz w:val="24"/>
          <w:szCs w:val="24"/>
        </w:rPr>
        <w:t>(4)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CONICET - Universidad de Buenos Aires, Instituto de Tecnología de Alimentos y Procesos Químicos (</w:t>
      </w:r>
      <w:proofErr w:type="spellStart"/>
      <w:r>
        <w:rPr>
          <w:sz w:val="24"/>
          <w:szCs w:val="24"/>
        </w:rPr>
        <w:t>ITAPROQ</w:t>
      </w:r>
      <w:proofErr w:type="spellEnd"/>
      <w:r>
        <w:rPr>
          <w:sz w:val="24"/>
          <w:szCs w:val="24"/>
        </w:rPr>
        <w:t>). Buenos Aires, Argentina.</w:t>
      </w:r>
    </w:p>
    <w:p w:rsidR="00AD3BBC" w:rsidRDefault="00AD3BBC">
      <w:pPr>
        <w:spacing w:line="240" w:lineRule="auto"/>
        <w:jc w:val="both"/>
        <w:rPr>
          <w:sz w:val="24"/>
          <w:szCs w:val="24"/>
        </w:rPr>
      </w:pPr>
    </w:p>
    <w:p w:rsidR="00AD3BBC" w:rsidRDefault="009719E0">
      <w:pPr>
        <w:rPr>
          <w:sz w:val="24"/>
          <w:szCs w:val="24"/>
        </w:rPr>
      </w:pPr>
      <w:r>
        <w:rPr>
          <w:sz w:val="24"/>
          <w:szCs w:val="24"/>
        </w:rPr>
        <w:t xml:space="preserve">Dirección de e-mail: </w:t>
      </w:r>
      <w:hyperlink r:id="rId7">
        <w:proofErr w:type="spellStart"/>
        <w:r>
          <w:rPr>
            <w:color w:val="1155CC"/>
            <w:sz w:val="24"/>
            <w:szCs w:val="24"/>
            <w:u w:val="single"/>
          </w:rPr>
          <w:t>sflores@di.fcen.uba.ar</w:t>
        </w:r>
        <w:proofErr w:type="spellEnd"/>
      </w:hyperlink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ab/>
        <w:t xml:space="preserve"> </w:t>
      </w:r>
    </w:p>
    <w:p w:rsidR="00AD3BBC" w:rsidRDefault="009719E0">
      <w:pPr>
        <w:jc w:val="both"/>
        <w:rPr>
          <w:sz w:val="24"/>
          <w:szCs w:val="24"/>
        </w:rPr>
      </w:pPr>
      <w:r>
        <w:rPr>
          <w:sz w:val="24"/>
          <w:szCs w:val="24"/>
        </w:rPr>
        <w:t>RESUMEN</w:t>
      </w:r>
    </w:p>
    <w:p w:rsidR="00AD3BBC" w:rsidRDefault="00AD3BBC">
      <w:pPr>
        <w:spacing w:line="240" w:lineRule="auto"/>
        <w:jc w:val="both"/>
        <w:rPr>
          <w:sz w:val="24"/>
          <w:szCs w:val="24"/>
        </w:rPr>
      </w:pPr>
    </w:p>
    <w:p w:rsidR="00AD3BBC" w:rsidRDefault="009719E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residuos vegetales de la industrialización han cobrado interés debido a que pueden presentar compuestos antioxidantes y antimicrobianos. En el presente trabajo se </w:t>
      </w:r>
      <w:r w:rsidR="00CC486B">
        <w:rPr>
          <w:sz w:val="24"/>
          <w:szCs w:val="24"/>
        </w:rPr>
        <w:t>estudió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el contenido d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polifenoles</w:t>
      </w:r>
      <w:proofErr w:type="spellEnd"/>
      <w:r>
        <w:rPr>
          <w:sz w:val="24"/>
          <w:szCs w:val="24"/>
        </w:rPr>
        <w:t xml:space="preserve"> totales (PT) (método </w:t>
      </w:r>
      <w:proofErr w:type="spellStart"/>
      <w:r>
        <w:rPr>
          <w:sz w:val="24"/>
          <w:szCs w:val="24"/>
        </w:rPr>
        <w:t>Folin-Ciocalteu</w:t>
      </w:r>
      <w:proofErr w:type="spellEnd"/>
      <w:r>
        <w:rPr>
          <w:sz w:val="24"/>
          <w:szCs w:val="24"/>
        </w:rPr>
        <w:t xml:space="preserve">), la capacidad antioxidante (CA) (método </w:t>
      </w:r>
      <w:proofErr w:type="spellStart"/>
      <w:r>
        <w:rPr>
          <w:sz w:val="24"/>
          <w:szCs w:val="24"/>
        </w:rPr>
        <w:t>DPPH</w:t>
      </w:r>
      <w:proofErr w:type="spellEnd"/>
      <w:r>
        <w:rPr>
          <w:sz w:val="24"/>
          <w:szCs w:val="24"/>
        </w:rPr>
        <w:t xml:space="preserve">) y el efecto antimicrobiano </w:t>
      </w:r>
      <w:r w:rsidR="00CC486B">
        <w:rPr>
          <w:sz w:val="24"/>
          <w:szCs w:val="24"/>
        </w:rPr>
        <w:t>frente</w:t>
      </w:r>
      <w:r>
        <w:rPr>
          <w:sz w:val="24"/>
          <w:szCs w:val="24"/>
        </w:rPr>
        <w:t xml:space="preserve"> a las levaduras </w:t>
      </w:r>
      <w:proofErr w:type="spellStart"/>
      <w:r>
        <w:rPr>
          <w:i/>
          <w:sz w:val="24"/>
          <w:szCs w:val="24"/>
        </w:rPr>
        <w:t>Zygosaccharomyces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parabailii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DMic031766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i/>
          <w:sz w:val="24"/>
          <w:szCs w:val="24"/>
        </w:rPr>
        <w:t>Zygosaccharomyces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bailii</w:t>
      </w:r>
      <w:proofErr w:type="spellEnd"/>
      <w:r>
        <w:rPr>
          <w:i/>
          <w:sz w:val="24"/>
          <w:szCs w:val="24"/>
        </w:rPr>
        <w:t xml:space="preserve"> (</w:t>
      </w:r>
      <w:proofErr w:type="spellStart"/>
      <w:r>
        <w:rPr>
          <w:i/>
          <w:sz w:val="24"/>
          <w:szCs w:val="24"/>
        </w:rPr>
        <w:t>ATCC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MYA4549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y a la bacteria</w:t>
      </w:r>
      <w:r>
        <w:rPr>
          <w:i/>
          <w:sz w:val="24"/>
          <w:szCs w:val="24"/>
        </w:rPr>
        <w:t xml:space="preserve"> Listeria </w:t>
      </w:r>
      <w:r>
        <w:rPr>
          <w:i/>
          <w:sz w:val="24"/>
          <w:szCs w:val="24"/>
        </w:rPr>
        <w:t>innocua (</w:t>
      </w:r>
      <w:proofErr w:type="spellStart"/>
      <w:r>
        <w:rPr>
          <w:i/>
          <w:sz w:val="24"/>
          <w:szCs w:val="24"/>
        </w:rPr>
        <w:t>CIP80.11</w:t>
      </w:r>
      <w:proofErr w:type="spellEnd"/>
      <w:r>
        <w:rPr>
          <w:i/>
          <w:sz w:val="24"/>
          <w:szCs w:val="24"/>
        </w:rPr>
        <w:t>),</w:t>
      </w:r>
      <w:r>
        <w:rPr>
          <w:sz w:val="24"/>
          <w:szCs w:val="24"/>
        </w:rPr>
        <w:t xml:space="preserve"> de extractos de cáscara (c) y pulpa (p) de frutas tropicales de la región del NEA: mango criollo (MC); mango </w:t>
      </w:r>
      <w:proofErr w:type="spellStart"/>
      <w:r>
        <w:rPr>
          <w:sz w:val="24"/>
          <w:szCs w:val="24"/>
        </w:rPr>
        <w:t>Keitt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MK</w:t>
      </w:r>
      <w:proofErr w:type="spellEnd"/>
      <w:r>
        <w:rPr>
          <w:sz w:val="24"/>
          <w:szCs w:val="24"/>
        </w:rPr>
        <w:t>); guayaba criolla (</w:t>
      </w:r>
      <w:proofErr w:type="spellStart"/>
      <w:r>
        <w:rPr>
          <w:sz w:val="24"/>
          <w:szCs w:val="24"/>
        </w:rPr>
        <w:t>GC</w:t>
      </w:r>
      <w:proofErr w:type="spellEnd"/>
      <w:r>
        <w:rPr>
          <w:sz w:val="24"/>
          <w:szCs w:val="24"/>
        </w:rPr>
        <w:t>); papaya criolla (PC) y papaya Formosa (</w:t>
      </w:r>
      <w:proofErr w:type="spellStart"/>
      <w:r>
        <w:rPr>
          <w:sz w:val="24"/>
          <w:szCs w:val="24"/>
        </w:rPr>
        <w:t>PF</w:t>
      </w:r>
      <w:proofErr w:type="spellEnd"/>
      <w:r>
        <w:rPr>
          <w:sz w:val="24"/>
          <w:szCs w:val="24"/>
        </w:rPr>
        <w:t xml:space="preserve">). Tanto p y c fueron secadas por convección de aire </w:t>
      </w:r>
      <w:r>
        <w:rPr>
          <w:sz w:val="24"/>
          <w:szCs w:val="24"/>
        </w:rPr>
        <w:t xml:space="preserve">(12 h, 45 </w:t>
      </w:r>
      <w:proofErr w:type="spellStart"/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), molidas y almacenadas (-18 </w:t>
      </w:r>
      <w:proofErr w:type="spellStart"/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). Las muestras fueron suspendidas en agua destilada para la extracción de PT asistida por baño de ultrasonido (30 min, 40 </w:t>
      </w:r>
      <w:proofErr w:type="spellStart"/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>). Posteriormente, los extractos se concentraron por liofilización. La actividad antimi</w:t>
      </w:r>
      <w:r>
        <w:rPr>
          <w:sz w:val="24"/>
          <w:szCs w:val="24"/>
        </w:rPr>
        <w:t xml:space="preserve">crobiana se analizó mediante ensayos de </w:t>
      </w:r>
      <w:r w:rsidR="00CC486B">
        <w:rPr>
          <w:sz w:val="24"/>
          <w:szCs w:val="24"/>
        </w:rPr>
        <w:t>difusión</w:t>
      </w:r>
      <w:r>
        <w:rPr>
          <w:sz w:val="24"/>
          <w:szCs w:val="24"/>
        </w:rPr>
        <w:t xml:space="preserve"> en agar (halos de </w:t>
      </w:r>
      <w:r w:rsidR="00CC486B">
        <w:rPr>
          <w:sz w:val="24"/>
          <w:szCs w:val="24"/>
        </w:rPr>
        <w:t>inhibición</w:t>
      </w:r>
      <w:r>
        <w:rPr>
          <w:sz w:val="24"/>
          <w:szCs w:val="24"/>
        </w:rPr>
        <w:t xml:space="preserve">), utilizando una </w:t>
      </w:r>
      <w:r w:rsidR="00CC486B">
        <w:rPr>
          <w:sz w:val="24"/>
          <w:szCs w:val="24"/>
        </w:rPr>
        <w:t>suspensión</w:t>
      </w:r>
      <w:r>
        <w:rPr>
          <w:sz w:val="24"/>
          <w:szCs w:val="24"/>
        </w:rPr>
        <w:t xml:space="preserve"> de microorganismos de ~</w:t>
      </w:r>
      <w:proofErr w:type="spellStart"/>
      <w:r>
        <w:rPr>
          <w:sz w:val="24"/>
          <w:szCs w:val="24"/>
        </w:rPr>
        <w:t>1.6x10</w:t>
      </w:r>
      <w:r>
        <w:rPr>
          <w:sz w:val="24"/>
          <w:szCs w:val="24"/>
          <w:vertAlign w:val="superscript"/>
        </w:rPr>
        <w:t>6</w:t>
      </w:r>
      <w:proofErr w:type="spellEnd"/>
      <w:r>
        <w:rPr>
          <w:sz w:val="16"/>
          <w:szCs w:val="16"/>
          <w:vertAlign w:val="superscript"/>
        </w:rPr>
        <w:t xml:space="preserve"> </w:t>
      </w:r>
      <w:proofErr w:type="spellStart"/>
      <w:r>
        <w:rPr>
          <w:sz w:val="24"/>
          <w:szCs w:val="24"/>
        </w:rPr>
        <w:t>UFC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mL</w:t>
      </w:r>
      <w:proofErr w:type="spellEnd"/>
      <w:r>
        <w:rPr>
          <w:sz w:val="24"/>
          <w:szCs w:val="24"/>
        </w:rPr>
        <w:t xml:space="preserve">. El contenido de PT (mg ácido gálico/g extracto) estuvo entre 27.3±0.4 para </w:t>
      </w:r>
      <w:proofErr w:type="spellStart"/>
      <w:r>
        <w:rPr>
          <w:sz w:val="24"/>
          <w:szCs w:val="24"/>
        </w:rPr>
        <w:t>MCc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GCc</w:t>
      </w:r>
      <w:proofErr w:type="spellEnd"/>
      <w:r>
        <w:rPr>
          <w:sz w:val="24"/>
          <w:szCs w:val="24"/>
        </w:rPr>
        <w:t xml:space="preserve">, y 1.1±0.3 para </w:t>
      </w:r>
      <w:proofErr w:type="spellStart"/>
      <w:r>
        <w:rPr>
          <w:sz w:val="24"/>
          <w:szCs w:val="24"/>
        </w:rPr>
        <w:t>MCp</w:t>
      </w:r>
      <w:proofErr w:type="spellEnd"/>
      <w:r>
        <w:rPr>
          <w:sz w:val="24"/>
          <w:szCs w:val="24"/>
        </w:rPr>
        <w:t>. Lo</w:t>
      </w:r>
      <w:r>
        <w:rPr>
          <w:sz w:val="24"/>
          <w:szCs w:val="24"/>
        </w:rPr>
        <w:t xml:space="preserve">s cultivares de papaya y la variedad </w:t>
      </w:r>
      <w:proofErr w:type="spellStart"/>
      <w:r>
        <w:rPr>
          <w:sz w:val="24"/>
          <w:szCs w:val="24"/>
        </w:rPr>
        <w:t>MK</w:t>
      </w:r>
      <w:proofErr w:type="spellEnd"/>
      <w:r>
        <w:rPr>
          <w:sz w:val="24"/>
          <w:szCs w:val="24"/>
        </w:rPr>
        <w:t>, no tuvieron diferencias significativas</w:t>
      </w:r>
      <w:r w:rsidR="00CC486B">
        <w:rPr>
          <w:sz w:val="24"/>
          <w:szCs w:val="24"/>
        </w:rPr>
        <w:t xml:space="preserve"> (p&lt;0.01) </w:t>
      </w:r>
      <w:r>
        <w:rPr>
          <w:sz w:val="24"/>
          <w:szCs w:val="24"/>
        </w:rPr>
        <w:t xml:space="preserve">entre p y c, siendo el valor medio 5.6±1.1 para PC, 8.7±1.8 para </w:t>
      </w:r>
      <w:proofErr w:type="spellStart"/>
      <w:r>
        <w:rPr>
          <w:sz w:val="24"/>
          <w:szCs w:val="24"/>
        </w:rPr>
        <w:t>PF</w:t>
      </w:r>
      <w:proofErr w:type="spellEnd"/>
      <w:r>
        <w:rPr>
          <w:sz w:val="24"/>
          <w:szCs w:val="24"/>
        </w:rPr>
        <w:t xml:space="preserve"> y 3.8±1.6 para </w:t>
      </w:r>
      <w:proofErr w:type="spellStart"/>
      <w:r>
        <w:rPr>
          <w:sz w:val="24"/>
          <w:szCs w:val="24"/>
        </w:rPr>
        <w:t>MK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MCp</w:t>
      </w:r>
      <w:proofErr w:type="spellEnd"/>
      <w:r>
        <w:rPr>
          <w:sz w:val="24"/>
          <w:szCs w:val="24"/>
        </w:rPr>
        <w:t xml:space="preserve"> no difirió de </w:t>
      </w:r>
      <w:proofErr w:type="spellStart"/>
      <w:r>
        <w:rPr>
          <w:sz w:val="24"/>
          <w:szCs w:val="24"/>
        </w:rPr>
        <w:t>PCc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MK</w:t>
      </w:r>
      <w:proofErr w:type="spellEnd"/>
      <w:r>
        <w:rPr>
          <w:sz w:val="24"/>
          <w:szCs w:val="24"/>
        </w:rPr>
        <w:t xml:space="preserve">. La </w:t>
      </w:r>
      <w:proofErr w:type="spellStart"/>
      <w:r>
        <w:rPr>
          <w:sz w:val="24"/>
          <w:szCs w:val="24"/>
        </w:rPr>
        <w:t>GCp</w:t>
      </w:r>
      <w:proofErr w:type="spellEnd"/>
      <w:r>
        <w:rPr>
          <w:sz w:val="24"/>
          <w:szCs w:val="24"/>
        </w:rPr>
        <w:t xml:space="preserve"> (13±1) fue similar a </w:t>
      </w:r>
      <w:proofErr w:type="spellStart"/>
      <w:r>
        <w:rPr>
          <w:sz w:val="24"/>
          <w:szCs w:val="24"/>
        </w:rPr>
        <w:t>PFp</w:t>
      </w:r>
      <w:proofErr w:type="spellEnd"/>
      <w:r>
        <w:rPr>
          <w:sz w:val="24"/>
          <w:szCs w:val="24"/>
        </w:rPr>
        <w:t xml:space="preserve"> (9.3±1.6). En cuanto a la CA </w:t>
      </w:r>
      <w:r>
        <w:rPr>
          <w:sz w:val="24"/>
          <w:szCs w:val="24"/>
        </w:rPr>
        <w:t xml:space="preserve">(mg </w:t>
      </w:r>
      <w:proofErr w:type="spellStart"/>
      <w:r>
        <w:rPr>
          <w:sz w:val="24"/>
          <w:szCs w:val="24"/>
        </w:rPr>
        <w:t>Trolox</w:t>
      </w:r>
      <w:proofErr w:type="spellEnd"/>
      <w:r>
        <w:rPr>
          <w:sz w:val="24"/>
          <w:szCs w:val="24"/>
        </w:rPr>
        <w:t>/g extracto), se obtuvo un rango entre 8.2±0.2 (</w:t>
      </w:r>
      <w:proofErr w:type="spellStart"/>
      <w:r>
        <w:rPr>
          <w:sz w:val="24"/>
          <w:szCs w:val="24"/>
        </w:rPr>
        <w:t>PCp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PCc</w:t>
      </w:r>
      <w:proofErr w:type="spellEnd"/>
      <w:r>
        <w:rPr>
          <w:sz w:val="24"/>
          <w:szCs w:val="24"/>
        </w:rPr>
        <w:t>) y 2.1±0.1 (</w:t>
      </w:r>
      <w:proofErr w:type="spellStart"/>
      <w:r>
        <w:rPr>
          <w:sz w:val="24"/>
          <w:szCs w:val="24"/>
        </w:rPr>
        <w:t>GCp</w:t>
      </w:r>
      <w:proofErr w:type="spellEnd"/>
      <w:r>
        <w:rPr>
          <w:sz w:val="24"/>
          <w:szCs w:val="24"/>
        </w:rPr>
        <w:t xml:space="preserve">). Partes (c y p) de PC, </w:t>
      </w:r>
      <w:proofErr w:type="spellStart"/>
      <w:r>
        <w:rPr>
          <w:sz w:val="24"/>
          <w:szCs w:val="24"/>
        </w:rPr>
        <w:t>PF</w:t>
      </w:r>
      <w:proofErr w:type="spellEnd"/>
      <w:r>
        <w:rPr>
          <w:sz w:val="24"/>
          <w:szCs w:val="24"/>
        </w:rPr>
        <w:t xml:space="preserve"> (6±1) y </w:t>
      </w:r>
      <w:proofErr w:type="spellStart"/>
      <w:r>
        <w:rPr>
          <w:sz w:val="24"/>
          <w:szCs w:val="24"/>
        </w:rPr>
        <w:t>MK</w:t>
      </w:r>
      <w:proofErr w:type="spellEnd"/>
      <w:r>
        <w:rPr>
          <w:sz w:val="24"/>
          <w:szCs w:val="24"/>
        </w:rPr>
        <w:t xml:space="preserve"> (3.4±0.3), no presentaron diferencias significativas</w:t>
      </w:r>
      <w:r w:rsidR="00CC486B">
        <w:rPr>
          <w:sz w:val="24"/>
          <w:szCs w:val="24"/>
        </w:rPr>
        <w:t xml:space="preserve"> </w:t>
      </w:r>
      <w:r w:rsidR="00CC486B">
        <w:rPr>
          <w:sz w:val="24"/>
          <w:szCs w:val="24"/>
        </w:rPr>
        <w:t>(p&lt;0.01)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MCp</w:t>
      </w:r>
      <w:proofErr w:type="spellEnd"/>
      <w:r>
        <w:rPr>
          <w:sz w:val="24"/>
          <w:szCs w:val="24"/>
        </w:rPr>
        <w:t xml:space="preserve"> fue análogo a PC (c y p) y </w:t>
      </w:r>
      <w:proofErr w:type="spellStart"/>
      <w:r>
        <w:rPr>
          <w:sz w:val="24"/>
          <w:szCs w:val="24"/>
        </w:rPr>
        <w:t>PFc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GCc</w:t>
      </w:r>
      <w:proofErr w:type="spellEnd"/>
      <w:r>
        <w:rPr>
          <w:sz w:val="24"/>
          <w:szCs w:val="24"/>
        </w:rPr>
        <w:t xml:space="preserve"> (3.7±0.8) fue similar a las partes de </w:t>
      </w:r>
      <w:proofErr w:type="spellStart"/>
      <w:r>
        <w:rPr>
          <w:sz w:val="24"/>
          <w:szCs w:val="24"/>
        </w:rPr>
        <w:t>MK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MCc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GCp</w:t>
      </w:r>
      <w:proofErr w:type="spellEnd"/>
      <w:r>
        <w:rPr>
          <w:sz w:val="24"/>
          <w:szCs w:val="24"/>
        </w:rPr>
        <w:t xml:space="preserve">. Los extractos inhibieron en mayor medida a </w:t>
      </w:r>
      <w:r>
        <w:rPr>
          <w:i/>
          <w:sz w:val="24"/>
          <w:szCs w:val="24"/>
        </w:rPr>
        <w:t>L. innocua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MCp</w:t>
      </w:r>
      <w:proofErr w:type="spellEnd"/>
      <w:r>
        <w:rPr>
          <w:sz w:val="24"/>
          <w:szCs w:val="24"/>
        </w:rPr>
        <w:t xml:space="preserve"> (11.5 mm) y </w:t>
      </w:r>
      <w:proofErr w:type="spellStart"/>
      <w:r>
        <w:rPr>
          <w:sz w:val="24"/>
          <w:szCs w:val="24"/>
        </w:rPr>
        <w:t>MCc</w:t>
      </w:r>
      <w:proofErr w:type="spellEnd"/>
      <w:r>
        <w:rPr>
          <w:sz w:val="24"/>
          <w:szCs w:val="24"/>
        </w:rPr>
        <w:t xml:space="preserve"> (13 mm); </w:t>
      </w:r>
      <w:proofErr w:type="spellStart"/>
      <w:r>
        <w:rPr>
          <w:sz w:val="24"/>
          <w:szCs w:val="24"/>
        </w:rPr>
        <w:t>PCp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PCc</w:t>
      </w:r>
      <w:proofErr w:type="spellEnd"/>
      <w:r>
        <w:rPr>
          <w:sz w:val="24"/>
          <w:szCs w:val="24"/>
        </w:rPr>
        <w:t xml:space="preserve"> (12 mm); </w:t>
      </w:r>
      <w:proofErr w:type="spellStart"/>
      <w:r>
        <w:rPr>
          <w:sz w:val="24"/>
          <w:szCs w:val="24"/>
        </w:rPr>
        <w:t>MKp</w:t>
      </w:r>
      <w:proofErr w:type="spellEnd"/>
      <w:r>
        <w:rPr>
          <w:sz w:val="24"/>
          <w:szCs w:val="24"/>
        </w:rPr>
        <w:t xml:space="preserve"> (11 mm); </w:t>
      </w:r>
      <w:proofErr w:type="spellStart"/>
      <w:r>
        <w:rPr>
          <w:sz w:val="24"/>
          <w:szCs w:val="24"/>
        </w:rPr>
        <w:t>MKc</w:t>
      </w:r>
      <w:proofErr w:type="spellEnd"/>
      <w:r>
        <w:rPr>
          <w:sz w:val="24"/>
          <w:szCs w:val="24"/>
        </w:rPr>
        <w:t xml:space="preserve"> (18 mm); y </w:t>
      </w:r>
      <w:proofErr w:type="spellStart"/>
      <w:r>
        <w:rPr>
          <w:sz w:val="24"/>
          <w:szCs w:val="24"/>
        </w:rPr>
        <w:t>PFp</w:t>
      </w:r>
      <w:proofErr w:type="spellEnd"/>
      <w:r>
        <w:rPr>
          <w:sz w:val="24"/>
          <w:szCs w:val="24"/>
        </w:rPr>
        <w:t xml:space="preserve"> (12 mm). Se evidenció una menor respuesta para </w:t>
      </w:r>
      <w:r>
        <w:rPr>
          <w:i/>
          <w:sz w:val="24"/>
          <w:szCs w:val="24"/>
        </w:rPr>
        <w:t xml:space="preserve">Z. </w:t>
      </w:r>
      <w:proofErr w:type="spellStart"/>
      <w:r>
        <w:rPr>
          <w:i/>
          <w:sz w:val="24"/>
          <w:szCs w:val="24"/>
        </w:rPr>
        <w:t>parabailii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MCp</w:t>
      </w:r>
      <w:proofErr w:type="spellEnd"/>
      <w:r>
        <w:rPr>
          <w:sz w:val="24"/>
          <w:szCs w:val="24"/>
        </w:rPr>
        <w:t xml:space="preserve"> (9.5 mm) y </w:t>
      </w:r>
      <w:proofErr w:type="spellStart"/>
      <w:r>
        <w:rPr>
          <w:sz w:val="24"/>
          <w:szCs w:val="24"/>
        </w:rPr>
        <w:t>MCc</w:t>
      </w:r>
      <w:proofErr w:type="spellEnd"/>
      <w:r>
        <w:rPr>
          <w:sz w:val="24"/>
          <w:szCs w:val="24"/>
        </w:rPr>
        <w:t xml:space="preserve"> (12 mm) y </w:t>
      </w:r>
      <w:r>
        <w:rPr>
          <w:i/>
          <w:sz w:val="24"/>
          <w:szCs w:val="24"/>
        </w:rPr>
        <w:t xml:space="preserve">Z. </w:t>
      </w:r>
      <w:proofErr w:type="spellStart"/>
      <w:r>
        <w:rPr>
          <w:i/>
          <w:sz w:val="24"/>
          <w:szCs w:val="24"/>
        </w:rPr>
        <w:t>bailii</w:t>
      </w:r>
      <w:proofErr w:type="spellEnd"/>
      <w:r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MCp</w:t>
      </w:r>
      <w:proofErr w:type="spellEnd"/>
      <w:r>
        <w:rPr>
          <w:sz w:val="24"/>
          <w:szCs w:val="24"/>
        </w:rPr>
        <w:t xml:space="preserve"> (1</w:t>
      </w:r>
      <w:r>
        <w:rPr>
          <w:sz w:val="24"/>
          <w:szCs w:val="24"/>
        </w:rPr>
        <w:t xml:space="preserve">0 mm) </w:t>
      </w:r>
      <w:r>
        <w:rPr>
          <w:sz w:val="24"/>
          <w:szCs w:val="24"/>
        </w:rPr>
        <w:lastRenderedPageBreak/>
        <w:t xml:space="preserve">y </w:t>
      </w:r>
      <w:proofErr w:type="spellStart"/>
      <w:r>
        <w:rPr>
          <w:sz w:val="24"/>
          <w:szCs w:val="24"/>
        </w:rPr>
        <w:t>MCc</w:t>
      </w:r>
      <w:proofErr w:type="spellEnd"/>
      <w:r>
        <w:rPr>
          <w:sz w:val="24"/>
          <w:szCs w:val="24"/>
        </w:rPr>
        <w:t xml:space="preserve"> (10 mm); </w:t>
      </w:r>
      <w:proofErr w:type="spellStart"/>
      <w:r>
        <w:rPr>
          <w:sz w:val="24"/>
          <w:szCs w:val="24"/>
        </w:rPr>
        <w:t>MKp</w:t>
      </w:r>
      <w:proofErr w:type="spellEnd"/>
      <w:r>
        <w:rPr>
          <w:sz w:val="24"/>
          <w:szCs w:val="24"/>
        </w:rPr>
        <w:t xml:space="preserve"> (10 mm); y </w:t>
      </w:r>
      <w:proofErr w:type="spellStart"/>
      <w:r>
        <w:rPr>
          <w:sz w:val="24"/>
          <w:szCs w:val="24"/>
        </w:rPr>
        <w:t>GCc</w:t>
      </w:r>
      <w:proofErr w:type="spellEnd"/>
      <w:r>
        <w:rPr>
          <w:sz w:val="24"/>
          <w:szCs w:val="24"/>
        </w:rPr>
        <w:t xml:space="preserve"> (12 mm). </w:t>
      </w:r>
      <w:proofErr w:type="spellStart"/>
      <w:r>
        <w:rPr>
          <w:sz w:val="24"/>
          <w:szCs w:val="24"/>
        </w:rPr>
        <w:t>GC</w:t>
      </w:r>
      <w:proofErr w:type="spellEnd"/>
      <w:r>
        <w:rPr>
          <w:sz w:val="24"/>
          <w:szCs w:val="24"/>
        </w:rPr>
        <w:t xml:space="preserve"> presentó la menor actividad antimicrobiana. Se puede concluir que, en general, la cantidad de PT no se correlacionó con la CA, como es el caso </w:t>
      </w:r>
      <w:proofErr w:type="spellStart"/>
      <w:r>
        <w:rPr>
          <w:sz w:val="24"/>
          <w:szCs w:val="24"/>
        </w:rPr>
        <w:t>MCc</w:t>
      </w:r>
      <w:proofErr w:type="spellEnd"/>
      <w:r>
        <w:rPr>
          <w:sz w:val="24"/>
          <w:szCs w:val="24"/>
        </w:rPr>
        <w:t xml:space="preserve"> con valor máximo de PT pero una CA reducida (55% por deba</w:t>
      </w:r>
      <w:r>
        <w:rPr>
          <w:sz w:val="24"/>
          <w:szCs w:val="24"/>
        </w:rPr>
        <w:t xml:space="preserve">jo de PC). Contrariamente, </w:t>
      </w:r>
      <w:proofErr w:type="spellStart"/>
      <w:r>
        <w:rPr>
          <w:sz w:val="24"/>
          <w:szCs w:val="24"/>
        </w:rPr>
        <w:t>MCp</w:t>
      </w:r>
      <w:proofErr w:type="spellEnd"/>
      <w:r>
        <w:rPr>
          <w:sz w:val="24"/>
          <w:szCs w:val="24"/>
        </w:rPr>
        <w:t xml:space="preserve"> mostró el valor más bajo de PT, a la vez que una de las mayores CA. Además, </w:t>
      </w:r>
      <w:proofErr w:type="spellStart"/>
      <w:r>
        <w:rPr>
          <w:sz w:val="24"/>
          <w:szCs w:val="24"/>
        </w:rPr>
        <w:t>MCp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MCc</w:t>
      </w:r>
      <w:proofErr w:type="spellEnd"/>
      <w:r>
        <w:rPr>
          <w:sz w:val="24"/>
          <w:szCs w:val="24"/>
        </w:rPr>
        <w:t xml:space="preserve"> presentaron efecto inhibitorio para los tres microorganismos ensayados. </w:t>
      </w:r>
      <w:proofErr w:type="spellStart"/>
      <w:r>
        <w:rPr>
          <w:sz w:val="24"/>
          <w:szCs w:val="24"/>
        </w:rPr>
        <w:t>MKc</w:t>
      </w:r>
      <w:proofErr w:type="spellEnd"/>
      <w:r>
        <w:rPr>
          <w:sz w:val="24"/>
          <w:szCs w:val="24"/>
        </w:rPr>
        <w:t xml:space="preserve"> presentó la máxima inhibición contra </w:t>
      </w:r>
      <w:r>
        <w:rPr>
          <w:i/>
          <w:sz w:val="24"/>
          <w:szCs w:val="24"/>
        </w:rPr>
        <w:t xml:space="preserve">L. </w:t>
      </w:r>
      <w:proofErr w:type="spellStart"/>
      <w:r>
        <w:rPr>
          <w:i/>
          <w:sz w:val="24"/>
          <w:szCs w:val="24"/>
        </w:rPr>
        <w:t>innnocua</w:t>
      </w:r>
      <w:proofErr w:type="spellEnd"/>
      <w:r>
        <w:rPr>
          <w:i/>
          <w:sz w:val="24"/>
          <w:szCs w:val="24"/>
        </w:rPr>
        <w:t>,</w:t>
      </w:r>
      <w:r w:rsidR="00FD6359">
        <w:rPr>
          <w:sz w:val="24"/>
          <w:szCs w:val="24"/>
        </w:rPr>
        <w:t xml:space="preserve"> una alta 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pero bajo PT. La cantidad de PT de las variedades criollas del NEA, fue comparable a las comerciales (</w:t>
      </w:r>
      <w:proofErr w:type="spellStart"/>
      <w:r>
        <w:rPr>
          <w:sz w:val="24"/>
          <w:szCs w:val="24"/>
        </w:rPr>
        <w:t>MK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PF</w:t>
      </w:r>
      <w:proofErr w:type="spellEnd"/>
      <w:r>
        <w:rPr>
          <w:sz w:val="24"/>
          <w:szCs w:val="24"/>
        </w:rPr>
        <w:t xml:space="preserve">) estando, además, disponibles en grandes cantidades. Por lo tanto, se prevé un </w:t>
      </w:r>
      <w:r w:rsidR="00FD6359">
        <w:rPr>
          <w:sz w:val="24"/>
          <w:szCs w:val="24"/>
        </w:rPr>
        <w:t xml:space="preserve">agregado de valor de las frutas y un </w:t>
      </w:r>
      <w:r>
        <w:rPr>
          <w:sz w:val="24"/>
          <w:szCs w:val="24"/>
        </w:rPr>
        <w:t xml:space="preserve">uso promisorio de sus extractos </w:t>
      </w:r>
      <w:r w:rsidR="00FD6359">
        <w:rPr>
          <w:sz w:val="24"/>
          <w:szCs w:val="24"/>
        </w:rPr>
        <w:t xml:space="preserve">con capacidad antioxidante y/o antimicrobiana </w:t>
      </w:r>
      <w:r>
        <w:rPr>
          <w:sz w:val="24"/>
          <w:szCs w:val="24"/>
        </w:rPr>
        <w:t xml:space="preserve">para la </w:t>
      </w:r>
      <w:r w:rsidR="00FD6359">
        <w:rPr>
          <w:sz w:val="24"/>
          <w:szCs w:val="24"/>
        </w:rPr>
        <w:t>conservación</w:t>
      </w:r>
      <w:r>
        <w:rPr>
          <w:sz w:val="24"/>
          <w:szCs w:val="24"/>
        </w:rPr>
        <w:t xml:space="preserve"> de alimentos.</w:t>
      </w:r>
      <w:r>
        <w:rPr>
          <w:sz w:val="24"/>
          <w:szCs w:val="24"/>
        </w:rPr>
        <w:t xml:space="preserve"> </w:t>
      </w:r>
    </w:p>
    <w:p w:rsidR="00AD3BBC" w:rsidRDefault="009719E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Palabras clave: extractos de frutas, actividad antioxidante, actividad antimicrobiana, preservación de alimentos, variedades autócton</w:t>
      </w:r>
      <w:bookmarkStart w:id="0" w:name="_GoBack"/>
      <w:bookmarkEnd w:id="0"/>
      <w:r>
        <w:rPr>
          <w:sz w:val="24"/>
          <w:szCs w:val="24"/>
        </w:rPr>
        <w:t>as</w:t>
      </w:r>
    </w:p>
    <w:p w:rsidR="00AD3BBC" w:rsidRDefault="00AD3BBC"/>
    <w:p w:rsidR="00AD3BBC" w:rsidRDefault="00AD3BBC">
      <w:pPr>
        <w:spacing w:before="240" w:after="240"/>
        <w:rPr>
          <w:sz w:val="24"/>
          <w:szCs w:val="24"/>
        </w:rPr>
      </w:pPr>
    </w:p>
    <w:p w:rsidR="00AD3BBC" w:rsidRDefault="00AD3BBC"/>
    <w:p w:rsidR="00AD3BBC" w:rsidRDefault="00AD3BBC"/>
    <w:sectPr w:rsidR="00AD3BBC">
      <w:headerReference w:type="default" r:id="rId8"/>
      <w:pgSz w:w="11909" w:h="16834"/>
      <w:pgMar w:top="155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E0" w:rsidRDefault="009719E0">
      <w:pPr>
        <w:spacing w:line="240" w:lineRule="auto"/>
      </w:pPr>
      <w:r>
        <w:separator/>
      </w:r>
    </w:p>
  </w:endnote>
  <w:endnote w:type="continuationSeparator" w:id="0">
    <w:p w:rsidR="009719E0" w:rsidRDefault="009719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E0" w:rsidRDefault="009719E0">
      <w:pPr>
        <w:spacing w:line="240" w:lineRule="auto"/>
      </w:pPr>
      <w:r>
        <w:separator/>
      </w:r>
    </w:p>
  </w:footnote>
  <w:footnote w:type="continuationSeparator" w:id="0">
    <w:p w:rsidR="009719E0" w:rsidRDefault="009719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BBC" w:rsidRDefault="009719E0">
    <w:pPr>
      <w:jc w:val="right"/>
      <w:rPr>
        <w:b/>
        <w:i/>
        <w:sz w:val="18"/>
        <w:szCs w:val="18"/>
        <w:highlight w:val="white"/>
      </w:rPr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390525</wp:posOffset>
          </wp:positionH>
          <wp:positionV relativeFrom="paragraph">
            <wp:posOffset>-76199</wp:posOffset>
          </wp:positionV>
          <wp:extent cx="676275" cy="6572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D3BBC" w:rsidRDefault="009719E0">
    <w:pPr>
      <w:jc w:val="right"/>
      <w:rPr>
        <w:b/>
        <w:i/>
        <w:sz w:val="18"/>
        <w:szCs w:val="18"/>
        <w:highlight w:val="white"/>
      </w:rPr>
    </w:pPr>
    <w:r>
      <w:rPr>
        <w:b/>
        <w:i/>
        <w:sz w:val="18"/>
        <w:szCs w:val="18"/>
        <w:highlight w:val="white"/>
      </w:rPr>
      <w:t>VIII Congreso Internacional de Ciencia y Tecnología de Alimentos (</w:t>
    </w:r>
    <w:proofErr w:type="spellStart"/>
    <w:r>
      <w:rPr>
        <w:b/>
        <w:i/>
        <w:sz w:val="18"/>
        <w:szCs w:val="18"/>
        <w:highlight w:val="white"/>
      </w:rPr>
      <w:t>CICYTAC</w:t>
    </w:r>
    <w:proofErr w:type="spellEnd"/>
    <w:r>
      <w:rPr>
        <w:b/>
        <w:i/>
        <w:sz w:val="18"/>
        <w:szCs w:val="18"/>
        <w:highlight w:val="white"/>
      </w:rPr>
      <w:t xml:space="preserve"> 2022)</w:t>
    </w:r>
  </w:p>
  <w:p w:rsidR="00AD3BBC" w:rsidRDefault="009719E0">
    <w:pPr>
      <w:ind w:left="720"/>
      <w:jc w:val="right"/>
      <w:rPr>
        <w:b/>
        <w:i/>
        <w:sz w:val="18"/>
        <w:szCs w:val="18"/>
        <w:highlight w:val="white"/>
      </w:rPr>
    </w:pPr>
    <w:r>
      <w:pict>
        <v:rect id="_x0000_i1025" style="width:0;height:1.5pt" o:hralign="center" o:hrstd="t" o:hr="t" fillcolor="#a0a0a0" stroked="f"/>
      </w:pict>
    </w:r>
  </w:p>
  <w:p w:rsidR="00AD3BBC" w:rsidRDefault="00AD3B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D3BBC"/>
    <w:rsid w:val="009719E0"/>
    <w:rsid w:val="00AD3BBC"/>
    <w:rsid w:val="00CC486B"/>
    <w:rsid w:val="00FD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flores@di.fcen.uba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 Karina Flores</cp:lastModifiedBy>
  <cp:revision>3</cp:revision>
  <dcterms:created xsi:type="dcterms:W3CDTF">2022-07-03T02:12:00Z</dcterms:created>
  <dcterms:modified xsi:type="dcterms:W3CDTF">2022-07-03T02:22:00Z</dcterms:modified>
</cp:coreProperties>
</file>