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E7B9" w14:textId="11ABDF58" w:rsidR="008F135E" w:rsidRDefault="008F135E" w:rsidP="008F13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Aprovechamiento del</w:t>
      </w:r>
      <w:r w:rsidRPr="008F135E">
        <w:rPr>
          <w:rFonts w:ascii="Arial" w:hAnsi="Arial" w:cs="Arial"/>
          <w:b/>
          <w:sz w:val="24"/>
          <w:szCs w:val="24"/>
          <w:lang w:val="es-ES"/>
        </w:rPr>
        <w:t xml:space="preserve"> residuo del escarificado de la semilla de </w:t>
      </w:r>
      <w:proofErr w:type="spellStart"/>
      <w:r w:rsidR="00E13264">
        <w:rPr>
          <w:rFonts w:ascii="Arial" w:hAnsi="Arial" w:cs="Arial"/>
          <w:b/>
          <w:sz w:val="24"/>
          <w:szCs w:val="24"/>
          <w:lang w:val="es-ES"/>
        </w:rPr>
        <w:t>qui</w:t>
      </w:r>
      <w:r w:rsidR="00E13264" w:rsidRPr="008F135E">
        <w:rPr>
          <w:rFonts w:ascii="Arial" w:hAnsi="Arial" w:cs="Arial"/>
          <w:b/>
          <w:sz w:val="24"/>
          <w:szCs w:val="24"/>
          <w:lang w:val="es-ES"/>
        </w:rPr>
        <w:t>noa</w:t>
      </w:r>
      <w:proofErr w:type="spellEnd"/>
    </w:p>
    <w:p w14:paraId="0D4F8EC3" w14:textId="77777777" w:rsidR="0052513D" w:rsidRDefault="0052513D" w:rsidP="00525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95D4CC2" w14:textId="14054E9A" w:rsidR="00547E08" w:rsidRDefault="0052513D" w:rsidP="00547E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52513D">
        <w:rPr>
          <w:rFonts w:ascii="Arial" w:hAnsi="Arial" w:cs="Arial"/>
          <w:sz w:val="24"/>
          <w:szCs w:val="24"/>
          <w:lang w:val="es-ES"/>
        </w:rPr>
        <w:t xml:space="preserve">Gallardo G </w:t>
      </w:r>
      <w:r>
        <w:rPr>
          <w:rFonts w:ascii="Arial" w:hAnsi="Arial" w:cs="Arial"/>
          <w:sz w:val="24"/>
          <w:szCs w:val="24"/>
          <w:lang w:val="es-ES"/>
        </w:rPr>
        <w:t xml:space="preserve">(1), </w:t>
      </w:r>
      <w:r w:rsidR="00547E08">
        <w:rPr>
          <w:rFonts w:ascii="Arial" w:hAnsi="Arial" w:cs="Arial"/>
          <w:sz w:val="24"/>
          <w:szCs w:val="24"/>
          <w:lang w:val="es-ES"/>
        </w:rPr>
        <w:t xml:space="preserve">Ambrosi V </w:t>
      </w:r>
      <w:r w:rsidR="00547E08" w:rsidRPr="0052513D">
        <w:rPr>
          <w:rFonts w:ascii="Arial" w:hAnsi="Arial" w:cs="Arial"/>
          <w:sz w:val="24"/>
          <w:szCs w:val="24"/>
          <w:lang w:val="es-ES"/>
        </w:rPr>
        <w:t>(</w:t>
      </w:r>
      <w:r w:rsidR="00547E08">
        <w:rPr>
          <w:rFonts w:ascii="Arial" w:hAnsi="Arial" w:cs="Arial"/>
          <w:sz w:val="24"/>
          <w:szCs w:val="24"/>
          <w:lang w:val="es-ES"/>
        </w:rPr>
        <w:t xml:space="preserve">1), </w:t>
      </w:r>
      <w:r w:rsidR="008F135E" w:rsidRPr="0052513D">
        <w:rPr>
          <w:rFonts w:ascii="Arial" w:hAnsi="Arial" w:cs="Arial"/>
          <w:sz w:val="24"/>
          <w:szCs w:val="24"/>
          <w:lang w:val="es-ES"/>
        </w:rPr>
        <w:t>Polenta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2513D">
        <w:rPr>
          <w:rFonts w:ascii="Arial" w:hAnsi="Arial" w:cs="Arial"/>
          <w:sz w:val="24"/>
          <w:szCs w:val="24"/>
          <w:lang w:val="es-ES"/>
        </w:rPr>
        <w:t>G</w:t>
      </w:r>
      <w:r>
        <w:rPr>
          <w:rFonts w:ascii="Arial" w:hAnsi="Arial" w:cs="Arial"/>
          <w:sz w:val="24"/>
          <w:szCs w:val="24"/>
          <w:lang w:val="es-ES"/>
        </w:rPr>
        <w:t xml:space="preserve"> (1), </w:t>
      </w:r>
      <w:r w:rsidR="008F135E" w:rsidRPr="0052513D">
        <w:rPr>
          <w:rFonts w:ascii="Arial" w:hAnsi="Arial" w:cs="Arial"/>
          <w:sz w:val="24"/>
          <w:szCs w:val="24"/>
          <w:lang w:val="es-ES"/>
        </w:rPr>
        <w:t xml:space="preserve">Orcasitas </w:t>
      </w:r>
      <w:r>
        <w:rPr>
          <w:rFonts w:ascii="Arial" w:hAnsi="Arial" w:cs="Arial"/>
          <w:sz w:val="24"/>
          <w:szCs w:val="24"/>
          <w:lang w:val="es-ES"/>
        </w:rPr>
        <w:t>E</w:t>
      </w:r>
      <w:r w:rsidR="00547E08">
        <w:rPr>
          <w:rFonts w:ascii="Arial" w:hAnsi="Arial" w:cs="Arial"/>
          <w:sz w:val="24"/>
          <w:szCs w:val="24"/>
          <w:lang w:val="es-ES"/>
        </w:rPr>
        <w:t xml:space="preserve"> </w:t>
      </w:r>
      <w:r w:rsidR="008F135E" w:rsidRPr="0052513D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2),</w:t>
      </w:r>
    </w:p>
    <w:p w14:paraId="7AB673BF" w14:textId="3B56A577" w:rsidR="0052513D" w:rsidRDefault="0052513D" w:rsidP="00547E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F135E" w:rsidRPr="0052513D">
        <w:rPr>
          <w:rFonts w:ascii="Arial" w:hAnsi="Arial" w:cs="Arial"/>
          <w:sz w:val="24"/>
          <w:szCs w:val="24"/>
          <w:lang w:val="es-ES"/>
        </w:rPr>
        <w:t xml:space="preserve">Gerbi </w:t>
      </w:r>
      <w:r w:rsidRPr="0052513D">
        <w:rPr>
          <w:rFonts w:ascii="Arial" w:hAnsi="Arial" w:cs="Arial"/>
          <w:sz w:val="24"/>
          <w:szCs w:val="24"/>
          <w:lang w:val="es-ES"/>
        </w:rPr>
        <w:t>P</w:t>
      </w:r>
      <w:r w:rsidR="00547E08">
        <w:rPr>
          <w:rFonts w:ascii="Arial" w:hAnsi="Arial" w:cs="Arial"/>
          <w:sz w:val="24"/>
          <w:szCs w:val="24"/>
          <w:lang w:val="es-ES"/>
        </w:rPr>
        <w:t xml:space="preserve"> </w:t>
      </w:r>
      <w:r w:rsidR="008F135E" w:rsidRPr="0052513D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2</w:t>
      </w:r>
      <w:r w:rsidR="008F135E" w:rsidRPr="0052513D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52513D">
        <w:rPr>
          <w:rFonts w:ascii="Arial" w:hAnsi="Arial" w:cs="Arial"/>
          <w:sz w:val="24"/>
          <w:szCs w:val="24"/>
          <w:lang w:val="es-ES"/>
        </w:rPr>
        <w:t>Pazos A (</w:t>
      </w:r>
      <w:r>
        <w:rPr>
          <w:rFonts w:ascii="Arial" w:hAnsi="Arial" w:cs="Arial"/>
          <w:sz w:val="24"/>
          <w:szCs w:val="24"/>
          <w:lang w:val="es-ES"/>
        </w:rPr>
        <w:t>1)</w:t>
      </w:r>
    </w:p>
    <w:p w14:paraId="43160C0F" w14:textId="77777777" w:rsidR="00547E08" w:rsidRDefault="00547E08" w:rsidP="001B1CE9">
      <w:pP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Calibri" w:hAnsi="Calibri"/>
          <w:i/>
          <w:iCs/>
          <w:color w:val="212121"/>
          <w:shd w:val="clear" w:color="auto" w:fill="FFFFFF"/>
        </w:rPr>
      </w:pPr>
    </w:p>
    <w:p w14:paraId="064FCC3A" w14:textId="3FD9725E" w:rsidR="003F2DE0" w:rsidRPr="001B1CE9" w:rsidRDefault="003F2DE0" w:rsidP="001B1CE9">
      <w:pP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Institu</w:t>
      </w:r>
      <w:r w:rsidR="00B6440E" w:rsidRPr="003F2DE0">
        <w:rPr>
          <w:rFonts w:ascii="Arial" w:eastAsia="Arial" w:hAnsi="Arial" w:cs="Arial"/>
          <w:position w:val="-1"/>
          <w:sz w:val="24"/>
          <w:szCs w:val="24"/>
        </w:rPr>
        <w:t xml:space="preserve">to Tecnología de Alimentos – ICyTeSAS- INTA,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Los Reseros y las Cabañas s/n</w:t>
      </w:r>
      <w:r w:rsidR="00FE0A20" w:rsidRPr="003F2DE0">
        <w:rPr>
          <w:rFonts w:ascii="Arial" w:eastAsia="Arial" w:hAnsi="Arial" w:cs="Arial"/>
          <w:position w:val="-1"/>
          <w:sz w:val="24"/>
          <w:szCs w:val="24"/>
        </w:rPr>
        <w:t>, Hurlingham, Bs.As., Argentina.</w:t>
      </w:r>
    </w:p>
    <w:p w14:paraId="7E03BD1F" w14:textId="66704E8D" w:rsidR="00707F40" w:rsidRPr="00707F40" w:rsidRDefault="001B1CE9" w:rsidP="003F2DE0">
      <w:pPr>
        <w:suppressAutoHyphens/>
        <w:spacing w:after="12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>
        <w:rPr>
          <w:rFonts w:ascii="Arial" w:eastAsia="Arial" w:hAnsi="Arial" w:cs="Arial"/>
          <w:position w:val="-1"/>
          <w:sz w:val="24"/>
          <w:szCs w:val="24"/>
          <w:lang w:val="es-ES"/>
        </w:rPr>
        <w:t>(2</w:t>
      </w:r>
      <w:r w:rsidR="0052513D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) </w:t>
      </w:r>
      <w:r w:rsidR="0052513D" w:rsidRPr="0052513D">
        <w:rPr>
          <w:rFonts w:ascii="Arial" w:hAnsi="Arial" w:cs="Arial"/>
          <w:sz w:val="24"/>
          <w:szCs w:val="24"/>
          <w:lang w:val="es-ES"/>
        </w:rPr>
        <w:t>I</w:t>
      </w:r>
      <w:r w:rsidR="0052513D">
        <w:rPr>
          <w:rFonts w:ascii="Arial" w:hAnsi="Arial" w:cs="Arial"/>
          <w:sz w:val="24"/>
          <w:szCs w:val="24"/>
          <w:lang w:val="es-ES"/>
        </w:rPr>
        <w:t xml:space="preserve">nstituto Nacional de Tecnología Agropecuaria, </w:t>
      </w:r>
      <w:r w:rsidR="0052513D" w:rsidRPr="0052513D">
        <w:rPr>
          <w:rFonts w:ascii="Arial" w:hAnsi="Arial" w:cs="Arial"/>
          <w:sz w:val="24"/>
          <w:szCs w:val="24"/>
          <w:lang w:val="es-ES"/>
        </w:rPr>
        <w:t>INTA-IPAF-NOA Posta de Hornillos Quebrada de Humahuaca-Jujuy</w:t>
      </w:r>
      <w:r w:rsidR="0052513D">
        <w:rPr>
          <w:rFonts w:ascii="Arial" w:hAnsi="Arial" w:cs="Arial"/>
          <w:sz w:val="24"/>
          <w:szCs w:val="24"/>
          <w:lang w:val="es-ES"/>
        </w:rPr>
        <w:t>, Argentina</w:t>
      </w:r>
    </w:p>
    <w:p w14:paraId="0C84BEC2" w14:textId="77777777" w:rsidR="0052513D" w:rsidRDefault="00053AA1" w:rsidP="0052513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52513D" w:rsidRPr="0052513D">
          <w:rPr>
            <w:rStyle w:val="Hipervnculo"/>
            <w:rFonts w:ascii="Arial" w:hAnsi="Arial" w:cs="Arial"/>
            <w:sz w:val="24"/>
            <w:szCs w:val="24"/>
            <w:lang w:val="es-ES"/>
          </w:rPr>
          <w:t>pazos.adriana@inta.gob.ar</w:t>
        </w:r>
      </w:hyperlink>
    </w:p>
    <w:p w14:paraId="7D825DA5" w14:textId="77777777" w:rsidR="0052513D" w:rsidRPr="0052513D" w:rsidRDefault="0052513D" w:rsidP="0052513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673A324" w14:textId="77777777" w:rsidR="003F1EEC" w:rsidRPr="003F1EEC" w:rsidRDefault="003F1EEC" w:rsidP="003F1EEC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3F1EEC">
        <w:rPr>
          <w:rFonts w:ascii="Arial" w:eastAsia="Arial" w:hAnsi="Arial" w:cs="Arial"/>
          <w:position w:val="-1"/>
          <w:sz w:val="24"/>
          <w:szCs w:val="24"/>
        </w:rPr>
        <w:t>RESUMEN</w:t>
      </w:r>
    </w:p>
    <w:p w14:paraId="75A526CE" w14:textId="77777777" w:rsidR="00891ECE" w:rsidRDefault="00891ECE" w:rsidP="00401631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i/>
          <w:position w:val="-1"/>
          <w:sz w:val="24"/>
          <w:szCs w:val="24"/>
        </w:rPr>
      </w:pPr>
    </w:p>
    <w:p w14:paraId="599D0348" w14:textId="66C30D36" w:rsidR="0077591C" w:rsidRPr="001E20B3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1E20B3">
        <w:rPr>
          <w:rFonts w:ascii="Arial" w:eastAsia="Arial" w:hAnsi="Arial" w:cs="Arial"/>
          <w:position w:val="-1"/>
          <w:sz w:val="24"/>
          <w:szCs w:val="24"/>
        </w:rPr>
        <w:t xml:space="preserve">La quínoa antes de ser consumida debe ser descascarada para reducir el contenido de saponinas, ya que éstas se concentran en la cáscara. 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>El residuo generado a partir de esta operación constituye una interesante fuente de compuestos de valor, lo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s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 xml:space="preserve"> cuales podrían ser identificados y recuperados, en línea con 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 xml:space="preserve">la meta 12.5 </w:t>
      </w:r>
      <w:r w:rsidR="00D61F82" w:rsidRPr="001E20B3">
        <w:rPr>
          <w:rFonts w:ascii="Arial" w:eastAsia="Arial" w:hAnsi="Arial" w:cs="Arial"/>
          <w:position w:val="-1"/>
          <w:sz w:val="24"/>
          <w:szCs w:val="24"/>
        </w:rPr>
        <w:t xml:space="preserve">de los Objetivos del Desarrollo Sostenible (ODS - 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reducción en la generación de desechos mediante la prevención, reducción, reciclado y reutilización)</w:t>
      </w:r>
      <w:r w:rsidR="00FF22FD" w:rsidRPr="001E20B3">
        <w:rPr>
          <w:rFonts w:ascii="Arial" w:eastAsia="Arial" w:hAnsi="Arial" w:cs="Arial"/>
          <w:position w:val="-1"/>
          <w:sz w:val="24"/>
          <w:szCs w:val="24"/>
        </w:rPr>
        <w:t>, evitando al mismo tiempo un potencial problema ambiental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644C74B" w14:textId="5B6094F5" w:rsidR="001E20B3" w:rsidRDefault="00073184" w:rsidP="001E20B3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073184">
        <w:rPr>
          <w:rFonts w:ascii="Arial" w:eastAsia="Arial" w:hAnsi="Arial" w:cs="Arial"/>
          <w:position w:val="-1"/>
          <w:sz w:val="24"/>
          <w:szCs w:val="24"/>
        </w:rPr>
        <w:t>El grupo de trabajo del IPAF-NOA diseñó una escarificadora para separar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la cáscara del grano</w:t>
      </w:r>
      <w:r w:rsidRPr="00073184">
        <w:rPr>
          <w:rFonts w:ascii="Arial" w:eastAsia="Arial" w:hAnsi="Arial" w:cs="Arial"/>
          <w:position w:val="-1"/>
          <w:sz w:val="24"/>
          <w:szCs w:val="24"/>
        </w:rPr>
        <w:t>. El residuo obtenido luego del escarificado gene</w:t>
      </w:r>
      <w:bookmarkStart w:id="0" w:name="_GoBack"/>
      <w:bookmarkEnd w:id="0"/>
      <w:r w:rsidRPr="00073184">
        <w:rPr>
          <w:rFonts w:ascii="Arial" w:eastAsia="Arial" w:hAnsi="Arial" w:cs="Arial"/>
          <w:position w:val="-1"/>
          <w:sz w:val="24"/>
          <w:szCs w:val="24"/>
        </w:rPr>
        <w:t>ra un problema ambiental</w:t>
      </w:r>
      <w:r w:rsidR="00605B76">
        <w:rPr>
          <w:rFonts w:ascii="Arial" w:eastAsia="Arial" w:hAnsi="Arial" w:cs="Arial"/>
          <w:position w:val="-1"/>
          <w:sz w:val="24"/>
          <w:szCs w:val="24"/>
        </w:rPr>
        <w:t xml:space="preserve"> que debe ser tenido en cuenta, por lo que resulta sumamente interesante su caracterización fisicoquímica para evaluar posibles usos y/o aplicaciones. </w:t>
      </w:r>
      <w:r w:rsidR="001E20B3">
        <w:rPr>
          <w:rFonts w:ascii="Arial" w:eastAsia="Arial" w:hAnsi="Arial" w:cs="Arial"/>
          <w:position w:val="-1"/>
          <w:sz w:val="24"/>
          <w:szCs w:val="24"/>
        </w:rPr>
        <w:t>E</w:t>
      </w:r>
      <w:r w:rsidR="001E20B3" w:rsidRPr="001E20B3">
        <w:rPr>
          <w:rFonts w:ascii="Arial" w:eastAsia="Arial" w:hAnsi="Arial" w:cs="Arial"/>
          <w:position w:val="-1"/>
          <w:sz w:val="24"/>
          <w:szCs w:val="24"/>
        </w:rPr>
        <w:t>l contenido proteico estimado es relativamente elevado, del orden del 14%. En consecuencia, el objetivo del trabajo fue desarrollar/optimizar un proceso que permita concentrar las proteínas a través de extracciones ácido base, y estudiar los productos mayoritarios obtenidos.</w:t>
      </w:r>
    </w:p>
    <w:p w14:paraId="42C2DA14" w14:textId="344D7919" w:rsidR="00073184" w:rsidRPr="00073184" w:rsidRDefault="00FF22FD" w:rsidP="002B2B0E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En función de esto, se molió c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omo primer paso la cáscara de </w:t>
      </w:r>
      <w:r w:rsidR="00E13264">
        <w:rPr>
          <w:rFonts w:ascii="Arial" w:eastAsia="Arial" w:hAnsi="Arial" w:cs="Arial"/>
          <w:position w:val="-1"/>
          <w:sz w:val="24"/>
          <w:szCs w:val="24"/>
        </w:rPr>
        <w:t>quínoa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, para luego proceder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 w:rsidR="008A2BD1">
        <w:rPr>
          <w:rFonts w:ascii="Arial" w:eastAsia="Arial" w:hAnsi="Arial" w:cs="Arial"/>
          <w:position w:val="-1"/>
          <w:sz w:val="24"/>
          <w:szCs w:val="24"/>
        </w:rPr>
        <w:t>estudiar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 los méto</w:t>
      </w:r>
      <w:r w:rsidR="00073184">
        <w:rPr>
          <w:rFonts w:ascii="Arial" w:eastAsia="Arial" w:hAnsi="Arial" w:cs="Arial"/>
          <w:position w:val="-1"/>
          <w:sz w:val="24"/>
          <w:szCs w:val="24"/>
        </w:rPr>
        <w:t>dos de extracción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Se realizaron 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un total de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6 ensayos, variando la temperatura en la etapa de solubilización (temp. ambiente y 50ºC) y el pH (8, 9 y 10)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 de extracción proteica, utilizando en todos los casos 4.5 como pH de precipitación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. Se partió de una suspensión 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acuosa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al 10% de polvo</w:t>
      </w:r>
      <w:r w:rsidR="00073184">
        <w:rPr>
          <w:rFonts w:ascii="Arial" w:eastAsia="Arial" w:hAnsi="Arial" w:cs="Arial"/>
          <w:position w:val="-1"/>
          <w:sz w:val="24"/>
          <w:szCs w:val="24"/>
        </w:rPr>
        <w:t xml:space="preserve"> de cáscara de </w:t>
      </w:r>
      <w:r w:rsidR="00E13264">
        <w:rPr>
          <w:rFonts w:ascii="Arial" w:eastAsia="Arial" w:hAnsi="Arial" w:cs="Arial"/>
          <w:position w:val="-1"/>
          <w:sz w:val="24"/>
          <w:szCs w:val="24"/>
        </w:rPr>
        <w:t>quínoa</w:t>
      </w:r>
      <w:r w:rsidR="008A2BD1">
        <w:rPr>
          <w:rFonts w:ascii="Arial" w:eastAsia="Arial" w:hAnsi="Arial" w:cs="Arial"/>
          <w:position w:val="-1"/>
          <w:sz w:val="24"/>
          <w:szCs w:val="24"/>
        </w:rPr>
        <w:t xml:space="preserve"> y llevada al pH de solubilización con agitación </w:t>
      </w:r>
      <w:r w:rsidR="002A324D">
        <w:rPr>
          <w:rFonts w:ascii="Arial" w:eastAsia="Arial" w:hAnsi="Arial" w:cs="Arial"/>
          <w:position w:val="-1"/>
          <w:sz w:val="24"/>
          <w:szCs w:val="24"/>
        </w:rPr>
        <w:t>constante durante 40 min. Luego se procedió a separar el precipitado (p1) del sobrenadante (S1) mediante centrifugación (2500 rpm, 40 min)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. A </w:t>
      </w:r>
      <w:r w:rsidR="001E20B3">
        <w:rPr>
          <w:rFonts w:ascii="Arial" w:eastAsia="Arial" w:hAnsi="Arial" w:cs="Arial"/>
          <w:position w:val="-1"/>
          <w:sz w:val="24"/>
          <w:szCs w:val="24"/>
        </w:rPr>
        <w:t>continuación,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 S1 fue llevado a pH 4.5 durante 40 min a temp. ambiente con agitación constante, obteniéndose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un precipitado conc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entrado en proteínas (p2), luego de centrifugar durante 40 min.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Se determinó en todas las fracciones el contenido de proteínas totales por el método de Kjeldahl, el contenido de fibra alimentaria por método enzimático, el contenido de humedad y el contenido de cenizas por método gravimétrico.</w:t>
      </w:r>
      <w:r w:rsidR="007A78EE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B2B0E">
        <w:rPr>
          <w:rFonts w:ascii="Arial" w:eastAsia="Arial" w:hAnsi="Arial" w:cs="Arial"/>
          <w:position w:val="-1"/>
          <w:sz w:val="24"/>
          <w:szCs w:val="24"/>
        </w:rPr>
        <w:t>Al analizar todos los resultados obtenidos se puede concluir que l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as condiciones </w:t>
      </w:r>
      <w:r w:rsidR="00C05B48">
        <w:rPr>
          <w:rFonts w:ascii="Arial" w:eastAsia="Arial" w:hAnsi="Arial" w:cs="Arial"/>
          <w:position w:val="-1"/>
          <w:sz w:val="24"/>
          <w:szCs w:val="24"/>
        </w:rPr>
        <w:t xml:space="preserve">de solubilización </w:t>
      </w:r>
      <w:r w:rsidR="002B2B0E" w:rsidRPr="00073184">
        <w:rPr>
          <w:rFonts w:ascii="Arial" w:eastAsia="Arial" w:hAnsi="Arial" w:cs="Arial"/>
          <w:position w:val="-1"/>
          <w:sz w:val="24"/>
          <w:szCs w:val="24"/>
        </w:rPr>
        <w:t>que permitieron obtener el mayor porcentaje de prote</w:t>
      </w:r>
      <w:r w:rsidR="00C05B48">
        <w:rPr>
          <w:rFonts w:ascii="Arial" w:eastAsia="Arial" w:hAnsi="Arial" w:cs="Arial"/>
          <w:position w:val="-1"/>
          <w:sz w:val="24"/>
          <w:szCs w:val="24"/>
        </w:rPr>
        <w:t>ínas (55,6</w:t>
      </w:r>
      <w:r w:rsidR="002B2B0E" w:rsidRPr="00073184">
        <w:rPr>
          <w:rFonts w:ascii="Arial" w:eastAsia="Arial" w:hAnsi="Arial" w:cs="Arial"/>
          <w:position w:val="-1"/>
          <w:sz w:val="24"/>
          <w:szCs w:val="24"/>
        </w:rPr>
        <w:t>% en base seca</w:t>
      </w:r>
      <w:r w:rsidR="001E20B3">
        <w:rPr>
          <w:rFonts w:ascii="Arial" w:eastAsia="Arial" w:hAnsi="Arial" w:cs="Arial"/>
          <w:position w:val="-1"/>
          <w:sz w:val="24"/>
          <w:szCs w:val="24"/>
        </w:rPr>
        <w:t>),</w:t>
      </w:r>
      <w:r w:rsidR="001E20B3" w:rsidRPr="0007318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E20B3">
        <w:rPr>
          <w:rFonts w:ascii="Arial" w:eastAsia="Arial" w:hAnsi="Arial" w:cs="Arial"/>
          <w:position w:val="-1"/>
          <w:sz w:val="24"/>
          <w:szCs w:val="24"/>
        </w:rPr>
        <w:t>fueron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C05B48">
        <w:rPr>
          <w:rFonts w:ascii="Arial" w:eastAsia="Arial" w:hAnsi="Arial" w:cs="Arial"/>
          <w:position w:val="-1"/>
          <w:sz w:val="24"/>
          <w:szCs w:val="24"/>
        </w:rPr>
        <w:t>pH8 y 50ºC</w:t>
      </w:r>
      <w:r w:rsidR="001E20B3">
        <w:rPr>
          <w:rFonts w:ascii="Arial" w:eastAsia="Arial" w:hAnsi="Arial" w:cs="Arial"/>
          <w:position w:val="-1"/>
          <w:sz w:val="24"/>
          <w:szCs w:val="24"/>
        </w:rPr>
        <w:t>, sin embargo, el mayor porcentaje de fibra dietaria total fue encontrado en p1 (</w:t>
      </w:r>
      <w:r w:rsidR="00022AFA">
        <w:rPr>
          <w:rFonts w:ascii="Arial" w:eastAsia="Arial" w:hAnsi="Arial" w:cs="Arial"/>
          <w:position w:val="-1"/>
          <w:sz w:val="24"/>
          <w:szCs w:val="24"/>
        </w:rPr>
        <w:t xml:space="preserve">32,8% sbs) fue en el ensayo realizado a pH10 y 50ºC. </w:t>
      </w:r>
    </w:p>
    <w:p w14:paraId="15BC12CD" w14:textId="32C37DF4" w:rsidR="00073184" w:rsidRPr="00073184" w:rsidRDefault="00073184" w:rsidP="00C05B48">
      <w:pPr>
        <w:suppressAutoHyphens/>
        <w:spacing w:after="0" w:line="240" w:lineRule="auto"/>
        <w:ind w:leftChars="-1" w:left="-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Se prevé continuar con los ensayos </w:t>
      </w:r>
      <w:r w:rsidR="00022AFA">
        <w:rPr>
          <w:rFonts w:ascii="Arial" w:eastAsia="Arial" w:hAnsi="Arial" w:cs="Arial"/>
          <w:position w:val="-1"/>
          <w:sz w:val="24"/>
          <w:szCs w:val="24"/>
        </w:rPr>
        <w:t>a</w:t>
      </w:r>
      <w:r w:rsidR="00C05B48">
        <w:rPr>
          <w:rFonts w:ascii="Arial" w:eastAsia="Arial" w:hAnsi="Arial" w:cs="Arial"/>
          <w:position w:val="-1"/>
          <w:sz w:val="24"/>
          <w:szCs w:val="24"/>
        </w:rPr>
        <w:t xml:space="preserve"> mayor escala </w:t>
      </w: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con la finalidad de </w:t>
      </w:r>
      <w:r w:rsidR="00C05B48">
        <w:rPr>
          <w:rFonts w:ascii="Arial" w:eastAsia="Arial" w:hAnsi="Arial" w:cs="Arial"/>
          <w:position w:val="-1"/>
          <w:sz w:val="24"/>
          <w:szCs w:val="24"/>
        </w:rPr>
        <w:t>calcular</w:t>
      </w: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 de los rendimientos correspondientes a cada etapa de la extracción. </w:t>
      </w:r>
      <w:r w:rsidR="00022AFA">
        <w:rPr>
          <w:rFonts w:ascii="Arial" w:eastAsia="Arial" w:hAnsi="Arial" w:cs="Arial"/>
          <w:position w:val="-1"/>
          <w:sz w:val="24"/>
          <w:szCs w:val="24"/>
        </w:rPr>
        <w:t>También</w:t>
      </w: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 se </w:t>
      </w:r>
      <w:r w:rsidRPr="00073184"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plantea estudiar el valor biológico del concentrado proteico, </w:t>
      </w:r>
      <w:r w:rsidR="00022AFA">
        <w:rPr>
          <w:rFonts w:ascii="Arial" w:eastAsia="Arial" w:hAnsi="Arial" w:cs="Arial"/>
          <w:position w:val="-1"/>
          <w:sz w:val="24"/>
          <w:szCs w:val="24"/>
        </w:rPr>
        <w:t>mediante</w:t>
      </w: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 de la determinación del perfil completo de aminoácidos.</w:t>
      </w:r>
    </w:p>
    <w:p w14:paraId="6B2A029C" w14:textId="77777777" w:rsidR="00073184" w:rsidRPr="00073184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45B30718" w14:textId="77777777" w:rsidR="00073184" w:rsidRPr="00073184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22A04CA8" w14:textId="0023F745" w:rsidR="00891ECE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073184">
        <w:rPr>
          <w:rFonts w:ascii="Arial" w:eastAsia="Arial" w:hAnsi="Arial" w:cs="Arial"/>
          <w:position w:val="-1"/>
          <w:sz w:val="24"/>
          <w:szCs w:val="24"/>
        </w:rPr>
        <w:t xml:space="preserve">Palabras Clave: Aprovechamiento de subproductos, cáscara de </w:t>
      </w:r>
      <w:proofErr w:type="spellStart"/>
      <w:r w:rsidRPr="00073184">
        <w:rPr>
          <w:rFonts w:ascii="Arial" w:eastAsia="Arial" w:hAnsi="Arial" w:cs="Arial"/>
          <w:position w:val="-1"/>
          <w:sz w:val="24"/>
          <w:szCs w:val="24"/>
        </w:rPr>
        <w:t>quinoa</w:t>
      </w:r>
      <w:proofErr w:type="spellEnd"/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   </w:t>
      </w:r>
    </w:p>
    <w:p w14:paraId="551CFA10" w14:textId="53B217B8" w:rsidR="002C1CE1" w:rsidRDefault="002C1CE1" w:rsidP="00281F34">
      <w:pPr>
        <w:rPr>
          <w:rFonts w:ascii="Arial" w:hAnsi="Arial" w:cs="Arial"/>
          <w:sz w:val="24"/>
          <w:szCs w:val="24"/>
        </w:rPr>
      </w:pPr>
    </w:p>
    <w:sectPr w:rsidR="002C1C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3834" w16cex:dateUtc="2022-07-01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C48BE9" w16cid:durableId="26685C38"/>
  <w16cid:commentId w16cid:paraId="67C456AB" w16cid:durableId="26693834"/>
  <w16cid:commentId w16cid:paraId="76752F30" w16cid:durableId="26685C39"/>
  <w16cid:commentId w16cid:paraId="5BA9C5DA" w16cid:durableId="26685C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4D257" w14:textId="77777777" w:rsidR="00053AA1" w:rsidRDefault="00053AA1" w:rsidP="00281F34">
      <w:pPr>
        <w:spacing w:after="0" w:line="240" w:lineRule="auto"/>
      </w:pPr>
      <w:r>
        <w:separator/>
      </w:r>
    </w:p>
  </w:endnote>
  <w:endnote w:type="continuationSeparator" w:id="0">
    <w:p w14:paraId="0F513F0E" w14:textId="77777777" w:rsidR="00053AA1" w:rsidRDefault="00053AA1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D67E" w14:textId="77777777" w:rsidR="00053AA1" w:rsidRDefault="00053AA1" w:rsidP="00281F34">
      <w:pPr>
        <w:spacing w:after="0" w:line="240" w:lineRule="auto"/>
      </w:pPr>
      <w:r>
        <w:separator/>
      </w:r>
    </w:p>
  </w:footnote>
  <w:footnote w:type="continuationSeparator" w:id="0">
    <w:p w14:paraId="53839B87" w14:textId="77777777" w:rsidR="00053AA1" w:rsidRDefault="00053AA1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D84E" w14:textId="77777777" w:rsidR="00281F34" w:rsidRPr="003F1EEC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rFonts w:ascii="Arial" w:hAnsi="Arial" w:cs="Arial"/>
        <w:color w:val="000000"/>
      </w:rPr>
    </w:pP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Pr="003F1EEC">
      <w:rPr>
        <w:rFonts w:ascii="Arial" w:hAnsi="Arial" w:cs="Arial"/>
        <w:b/>
        <w:i/>
        <w:sz w:val="18"/>
        <w:szCs w:val="18"/>
        <w:highlight w:val="white"/>
      </w:rPr>
      <w:t>2</w:t>
    </w: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)</w:t>
    </w:r>
    <w:r w:rsidRPr="003F1EEC">
      <w:rPr>
        <w:rFonts w:ascii="Arial" w:hAnsi="Arial" w:cs="Arial"/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0B3D8C70" wp14:editId="53415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5FB81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325"/>
    <w:multiLevelType w:val="hybridMultilevel"/>
    <w:tmpl w:val="ADA89282"/>
    <w:lvl w:ilvl="0" w:tplc="A4CEF69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E2E77E9"/>
    <w:multiLevelType w:val="hybridMultilevel"/>
    <w:tmpl w:val="D55E2D66"/>
    <w:lvl w:ilvl="0" w:tplc="122A22E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F8B"/>
    <w:multiLevelType w:val="hybridMultilevel"/>
    <w:tmpl w:val="D938D7DA"/>
    <w:lvl w:ilvl="0" w:tplc="529C84D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DE7"/>
    <w:multiLevelType w:val="hybridMultilevel"/>
    <w:tmpl w:val="3348E03E"/>
    <w:lvl w:ilvl="0" w:tplc="A4CEF690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8"/>
    <w:rsid w:val="000014E7"/>
    <w:rsid w:val="00022AFA"/>
    <w:rsid w:val="00040C5A"/>
    <w:rsid w:val="0004667C"/>
    <w:rsid w:val="00053AA1"/>
    <w:rsid w:val="00073184"/>
    <w:rsid w:val="000A3E62"/>
    <w:rsid w:val="000B2528"/>
    <w:rsid w:val="0014119A"/>
    <w:rsid w:val="0014197D"/>
    <w:rsid w:val="00145F67"/>
    <w:rsid w:val="001506CD"/>
    <w:rsid w:val="00155C6D"/>
    <w:rsid w:val="00181217"/>
    <w:rsid w:val="001A6E79"/>
    <w:rsid w:val="001B1CE9"/>
    <w:rsid w:val="001E20B3"/>
    <w:rsid w:val="001E4FEE"/>
    <w:rsid w:val="0021794A"/>
    <w:rsid w:val="00243E1F"/>
    <w:rsid w:val="00254216"/>
    <w:rsid w:val="00277F70"/>
    <w:rsid w:val="00281F34"/>
    <w:rsid w:val="00284748"/>
    <w:rsid w:val="002A324D"/>
    <w:rsid w:val="002B2B0E"/>
    <w:rsid w:val="002C1CE1"/>
    <w:rsid w:val="00325C13"/>
    <w:rsid w:val="00345842"/>
    <w:rsid w:val="00371846"/>
    <w:rsid w:val="003D5831"/>
    <w:rsid w:val="003F1EEC"/>
    <w:rsid w:val="003F2DE0"/>
    <w:rsid w:val="00401631"/>
    <w:rsid w:val="00447AB8"/>
    <w:rsid w:val="004726A6"/>
    <w:rsid w:val="00494E4E"/>
    <w:rsid w:val="004B30CF"/>
    <w:rsid w:val="004D3A26"/>
    <w:rsid w:val="004D5382"/>
    <w:rsid w:val="004F42E3"/>
    <w:rsid w:val="00520C79"/>
    <w:rsid w:val="0052513D"/>
    <w:rsid w:val="0053615A"/>
    <w:rsid w:val="00547E08"/>
    <w:rsid w:val="00580FC9"/>
    <w:rsid w:val="005E3FAC"/>
    <w:rsid w:val="00605B76"/>
    <w:rsid w:val="00610BFD"/>
    <w:rsid w:val="006732F3"/>
    <w:rsid w:val="006757E8"/>
    <w:rsid w:val="006B2B43"/>
    <w:rsid w:val="006B5D9B"/>
    <w:rsid w:val="006B7908"/>
    <w:rsid w:val="006C0908"/>
    <w:rsid w:val="00707F40"/>
    <w:rsid w:val="00724249"/>
    <w:rsid w:val="00724C29"/>
    <w:rsid w:val="00767363"/>
    <w:rsid w:val="0077591C"/>
    <w:rsid w:val="007A458D"/>
    <w:rsid w:val="007A78EE"/>
    <w:rsid w:val="007C005B"/>
    <w:rsid w:val="007C3B84"/>
    <w:rsid w:val="00891ECE"/>
    <w:rsid w:val="008A2BD1"/>
    <w:rsid w:val="008F135E"/>
    <w:rsid w:val="009038A3"/>
    <w:rsid w:val="00904527"/>
    <w:rsid w:val="0090762B"/>
    <w:rsid w:val="0092322D"/>
    <w:rsid w:val="00947FB9"/>
    <w:rsid w:val="00963014"/>
    <w:rsid w:val="00973E42"/>
    <w:rsid w:val="00993384"/>
    <w:rsid w:val="009D710C"/>
    <w:rsid w:val="009F324A"/>
    <w:rsid w:val="00A057C3"/>
    <w:rsid w:val="00A2332F"/>
    <w:rsid w:val="00A32820"/>
    <w:rsid w:val="00A45FA2"/>
    <w:rsid w:val="00A674B1"/>
    <w:rsid w:val="00A822C9"/>
    <w:rsid w:val="00A83673"/>
    <w:rsid w:val="00A85BC8"/>
    <w:rsid w:val="00AA61A7"/>
    <w:rsid w:val="00AC5171"/>
    <w:rsid w:val="00AF6A96"/>
    <w:rsid w:val="00B607E7"/>
    <w:rsid w:val="00B6440E"/>
    <w:rsid w:val="00B70A79"/>
    <w:rsid w:val="00B84FD4"/>
    <w:rsid w:val="00BC2544"/>
    <w:rsid w:val="00BD408A"/>
    <w:rsid w:val="00BE0293"/>
    <w:rsid w:val="00BE3467"/>
    <w:rsid w:val="00BF5799"/>
    <w:rsid w:val="00C05B48"/>
    <w:rsid w:val="00C10B3B"/>
    <w:rsid w:val="00C3110B"/>
    <w:rsid w:val="00C51E27"/>
    <w:rsid w:val="00C91876"/>
    <w:rsid w:val="00CE44C6"/>
    <w:rsid w:val="00D41BFE"/>
    <w:rsid w:val="00D521EB"/>
    <w:rsid w:val="00D61F82"/>
    <w:rsid w:val="00D62116"/>
    <w:rsid w:val="00D86E0E"/>
    <w:rsid w:val="00D95655"/>
    <w:rsid w:val="00DA50F2"/>
    <w:rsid w:val="00DB05C4"/>
    <w:rsid w:val="00DD399F"/>
    <w:rsid w:val="00E13264"/>
    <w:rsid w:val="00E635A3"/>
    <w:rsid w:val="00E73CFA"/>
    <w:rsid w:val="00E76C0A"/>
    <w:rsid w:val="00EC267C"/>
    <w:rsid w:val="00F21672"/>
    <w:rsid w:val="00F44C55"/>
    <w:rsid w:val="00F92826"/>
    <w:rsid w:val="00FB518D"/>
    <w:rsid w:val="00FC400B"/>
    <w:rsid w:val="00FC5776"/>
    <w:rsid w:val="00FE0A20"/>
    <w:rsid w:val="00FE700E"/>
    <w:rsid w:val="00FF22F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0E6"/>
  <w15:docId w15:val="{DEFABAE3-0CAC-4370-97AF-6CF565A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21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2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8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28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os.adriana@inta.gob.a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480-DCFE-4C52-A790-A3D0FAA6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Laura Gallardo</dc:creator>
  <cp:lastModifiedBy>Gabriela Laura Gallardo</cp:lastModifiedBy>
  <cp:revision>5</cp:revision>
  <dcterms:created xsi:type="dcterms:W3CDTF">2022-07-01T13:52:00Z</dcterms:created>
  <dcterms:modified xsi:type="dcterms:W3CDTF">2022-07-01T14:56:00Z</dcterms:modified>
</cp:coreProperties>
</file>