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6A" w:rsidRPr="0097476A" w:rsidRDefault="00624596" w:rsidP="0097476A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de la fermentación láctica de harina de </w:t>
      </w:r>
      <w:r w:rsidR="0097476A" w:rsidRPr="0097476A">
        <w:rPr>
          <w:b/>
          <w:color w:val="000000"/>
        </w:rPr>
        <w:t>Avena sativa.</w:t>
      </w:r>
    </w:p>
    <w:p w:rsidR="00EC5A03" w:rsidRDefault="00624596" w:rsidP="00F3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EC5A03" w:rsidRDefault="000C3C58">
      <w:pPr>
        <w:spacing w:after="0" w:line="240" w:lineRule="auto"/>
        <w:ind w:left="0" w:hanging="2"/>
        <w:jc w:val="center"/>
      </w:pPr>
      <w:r>
        <w:t>Carabajal Torrez</w:t>
      </w:r>
      <w:r w:rsidR="00EB3D51">
        <w:t xml:space="preserve"> </w:t>
      </w:r>
      <w:r w:rsidR="009F01F5">
        <w:t>J</w:t>
      </w:r>
      <w:r w:rsidR="00EB3D51">
        <w:t>A</w:t>
      </w:r>
      <w:r w:rsidR="009F01F5">
        <w:t xml:space="preserve"> (</w:t>
      </w:r>
      <w:r w:rsidR="00334A78">
        <w:t>1</w:t>
      </w:r>
      <w:r w:rsidR="009F01F5">
        <w:t>)</w:t>
      </w:r>
      <w:r w:rsidR="00EB3D51">
        <w:t>,</w:t>
      </w:r>
      <w:r w:rsidR="00334A78">
        <w:t xml:space="preserve"> Carrizo NI (2), </w:t>
      </w:r>
      <w:r w:rsidR="006F2F24">
        <w:t xml:space="preserve">Soberón JR (2), </w:t>
      </w:r>
      <w:proofErr w:type="spellStart"/>
      <w:r w:rsidR="006F2F24">
        <w:t>Gerez</w:t>
      </w:r>
      <w:proofErr w:type="spellEnd"/>
      <w:r w:rsidR="006F2F24">
        <w:t xml:space="preserve"> CL (1)</w:t>
      </w:r>
      <w:r w:rsidR="00334A78">
        <w:t xml:space="preserve"> 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334A78" w:rsidRDefault="00334A78" w:rsidP="00334A78">
      <w:pPr>
        <w:spacing w:line="240" w:lineRule="auto"/>
        <w:ind w:left="0" w:hanging="2"/>
        <w:jc w:val="left"/>
      </w:pPr>
      <w:r>
        <w:t xml:space="preserve">(1) Centro de Referencia para Lactobacilos (CERELA) CONICET, </w:t>
      </w:r>
      <w:r w:rsidRPr="00EB3D51">
        <w:t>Batalla de Chacabuco 145</w:t>
      </w:r>
      <w:r>
        <w:t>, San Miguel de Tucumán, Tucumán, Argentina.</w:t>
      </w:r>
    </w:p>
    <w:p w:rsidR="00EC5A03" w:rsidRDefault="00334A78" w:rsidP="00334A78">
      <w:pPr>
        <w:spacing w:after="120" w:line="240" w:lineRule="auto"/>
        <w:ind w:left="0" w:hanging="2"/>
        <w:jc w:val="left"/>
      </w:pPr>
      <w:r>
        <w:t xml:space="preserve"> (2</w:t>
      </w:r>
      <w:r w:rsidR="00EB3D51">
        <w:t xml:space="preserve">) </w:t>
      </w:r>
      <w:r w:rsidR="00EB3D51" w:rsidRPr="00EB3D51">
        <w:t>Instituto de Estudios Veget</w:t>
      </w:r>
      <w:r w:rsidR="00EB3D51">
        <w:t>ales "Dr. Antonio R. Sampietro",</w:t>
      </w:r>
      <w:r w:rsidR="00EB3D51" w:rsidRPr="00EB3D51">
        <w:t xml:space="preserve"> Facultad de </w:t>
      </w:r>
      <w:r w:rsidR="00EB3D51">
        <w:t xml:space="preserve">Bioquímica, Química y Farmacia, </w:t>
      </w:r>
      <w:r w:rsidR="00EB3D51" w:rsidRPr="00EB3D51">
        <w:t>Universidad Nacional de Tucumán</w:t>
      </w:r>
      <w:r w:rsidR="00EB3D51">
        <w:t>, Batalla de Ayacucho 461, San Miguel de Tucumán, Tucumán, Argentina.</w:t>
      </w:r>
      <w:bookmarkStart w:id="0" w:name="_GoBack"/>
      <w:bookmarkEnd w:id="0"/>
    </w:p>
    <w:p w:rsidR="00EC5A03" w:rsidRDefault="009F01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B3D51">
        <w:rPr>
          <w:color w:val="000000"/>
        </w:rPr>
        <w:t xml:space="preserve"> </w:t>
      </w:r>
      <w:r w:rsidR="00EB3D51" w:rsidRPr="00EB3D51">
        <w:rPr>
          <w:color w:val="000000"/>
        </w:rPr>
        <w:t>clugerez@gmail.com</w:t>
      </w:r>
      <w:r w:rsidRPr="00EB3D51">
        <w:rPr>
          <w:color w:val="000000"/>
        </w:rPr>
        <w:tab/>
      </w:r>
    </w:p>
    <w:p w:rsidR="00EC5A03" w:rsidRDefault="00EC5A03">
      <w:pPr>
        <w:spacing w:after="0" w:line="240" w:lineRule="auto"/>
        <w:ind w:left="0" w:hanging="2"/>
      </w:pPr>
    </w:p>
    <w:p w:rsidR="00EC5A03" w:rsidRDefault="009F01F5">
      <w:pPr>
        <w:spacing w:after="0" w:line="240" w:lineRule="auto"/>
        <w:ind w:left="0" w:hanging="2"/>
      </w:pPr>
      <w:r>
        <w:t>RESUMEN</w:t>
      </w:r>
    </w:p>
    <w:p w:rsidR="00EC5A03" w:rsidRDefault="00EC5A03">
      <w:pPr>
        <w:spacing w:after="0" w:line="240" w:lineRule="auto"/>
        <w:ind w:left="0" w:hanging="2"/>
      </w:pPr>
    </w:p>
    <w:p w:rsidR="003E5A3B" w:rsidRDefault="007115B3" w:rsidP="0070181C">
      <w:pPr>
        <w:spacing w:after="0" w:line="240" w:lineRule="auto"/>
        <w:ind w:left="0" w:hanging="2"/>
      </w:pPr>
      <w:r>
        <w:t xml:space="preserve">En los últimos años, ha aumentado significativamente la oferta de alimentos y bebidas de origen vegetal con el objetivo de satisfacer la creciente demanda de estos productos por los consumidores. Entre los principales motivos de esta demanda </w:t>
      </w:r>
      <w:r w:rsidR="00E34CE6">
        <w:t xml:space="preserve">se </w:t>
      </w:r>
      <w:r>
        <w:t xml:space="preserve">destaca una creciente concienciación de las personas sobre el binomio alimentación y salud, una </w:t>
      </w:r>
      <w:r w:rsidR="00E34CE6">
        <w:t xml:space="preserve">mayor </w:t>
      </w:r>
      <w:r>
        <w:t xml:space="preserve">tendencia hacia el vegetarianismo y </w:t>
      </w:r>
      <w:proofErr w:type="spellStart"/>
      <w:r>
        <w:t>veganismo</w:t>
      </w:r>
      <w:proofErr w:type="spellEnd"/>
      <w:r>
        <w:t xml:space="preserve">, junto con un aumento en el desarrollo de enfermedades patológicas como la intolerancia a la lactosa y alergias a las proteínas de la leche de vaca. </w:t>
      </w:r>
      <w:r w:rsidR="00347C0D">
        <w:t>El consumo regular de avena</w:t>
      </w:r>
      <w:r w:rsidR="00342D68">
        <w:t xml:space="preserve"> </w:t>
      </w:r>
      <w:r w:rsidR="00342D68" w:rsidRPr="0067580D">
        <w:rPr>
          <w:i/>
        </w:rPr>
        <w:t>(avena sativa)</w:t>
      </w:r>
      <w:r w:rsidR="00342D68">
        <w:t xml:space="preserve"> </w:t>
      </w:r>
      <w:r w:rsidR="00F40C27">
        <w:t>puede ayudar a disminuir</w:t>
      </w:r>
      <w:r w:rsidR="00D63610">
        <w:t xml:space="preserve"> el riesgo de </w:t>
      </w:r>
      <w:r w:rsidR="00F40C27">
        <w:t xml:space="preserve">padecer </w:t>
      </w:r>
      <w:r w:rsidR="00D63610">
        <w:t xml:space="preserve">enfermedades cardiovasculares </w:t>
      </w:r>
      <w:r w:rsidR="00F40C27">
        <w:t>y</w:t>
      </w:r>
      <w:r w:rsidR="00D63610">
        <w:t xml:space="preserve"> diabetes mellitus tipo 2, debido a que</w:t>
      </w:r>
      <w:r w:rsidR="00C211AA">
        <w:t> es</w:t>
      </w:r>
      <w:r w:rsidR="00342D68">
        <w:t xml:space="preserve"> un cereal muy rico en fibra</w:t>
      </w:r>
      <w:r w:rsidR="00D63610">
        <w:t xml:space="preserve"> dietaria y ácidos grasos poliinsaturados.</w:t>
      </w:r>
      <w:r w:rsidR="00C211AA">
        <w:t xml:space="preserve"> </w:t>
      </w:r>
      <w:r w:rsidR="00D63610">
        <w:t xml:space="preserve">También es </w:t>
      </w:r>
      <w:r w:rsidR="0067580D">
        <w:t xml:space="preserve">una </w:t>
      </w:r>
      <w:r w:rsidR="0067580D" w:rsidRPr="00E34CE6">
        <w:t>fuente</w:t>
      </w:r>
      <w:r w:rsidR="00E34CE6" w:rsidRPr="00E34CE6">
        <w:t xml:space="preserve"> de compuestos </w:t>
      </w:r>
      <w:r w:rsidR="0070181C">
        <w:t xml:space="preserve">fenólicos (CF) </w:t>
      </w:r>
      <w:r w:rsidR="00E34CE6" w:rsidRPr="00E34CE6">
        <w:t>con actividad antioxidante</w:t>
      </w:r>
      <w:r w:rsidR="00D63610">
        <w:t xml:space="preserve"> debido a la presencia de compuestos como ser</w:t>
      </w:r>
      <w:r w:rsidR="00E34CE6" w:rsidRPr="00E34CE6">
        <w:t xml:space="preserve">los </w:t>
      </w:r>
      <w:proofErr w:type="spellStart"/>
      <w:r w:rsidR="00E34CE6" w:rsidRPr="00E34CE6">
        <w:t>tocoles</w:t>
      </w:r>
      <w:proofErr w:type="spellEnd"/>
      <w:r w:rsidR="00E34CE6" w:rsidRPr="00E34CE6">
        <w:t xml:space="preserve"> (tocoferoles y </w:t>
      </w:r>
      <w:proofErr w:type="spellStart"/>
      <w:r w:rsidR="00E34CE6" w:rsidRPr="00E34CE6">
        <w:t>tocotrienoles</w:t>
      </w:r>
      <w:proofErr w:type="spellEnd"/>
      <w:r w:rsidR="00E34CE6" w:rsidRPr="00E34CE6">
        <w:t>), ácidos fenólicos</w:t>
      </w:r>
      <w:r w:rsidR="0070181C">
        <w:t xml:space="preserve">, flavonoides </w:t>
      </w:r>
      <w:r w:rsidR="00E34CE6" w:rsidRPr="00E34CE6">
        <w:t>y esteroles</w:t>
      </w:r>
      <w:r w:rsidR="0070181C">
        <w:rPr>
          <w:color w:val="202124"/>
          <w:shd w:val="clear" w:color="auto" w:fill="FFFFFF"/>
        </w:rPr>
        <w:t xml:space="preserve">. Sin embargo, </w:t>
      </w:r>
      <w:r w:rsidR="0070181C">
        <w:t>estos</w:t>
      </w:r>
      <w:r w:rsidR="00D95EBE">
        <w:t xml:space="preserve"> </w:t>
      </w:r>
      <w:r w:rsidR="0070181C">
        <w:t xml:space="preserve">CF </w:t>
      </w:r>
      <w:r w:rsidR="004C3879">
        <w:t xml:space="preserve">en su mayoría se encuentran unidos a través de enlaces ésteres a cadenas de </w:t>
      </w:r>
      <w:proofErr w:type="spellStart"/>
      <w:r w:rsidR="004C3879">
        <w:t>arabinoxilano</w:t>
      </w:r>
      <w:proofErr w:type="spellEnd"/>
      <w:r w:rsidR="007F1FAD">
        <w:t xml:space="preserve"> de la pared celular</w:t>
      </w:r>
      <w:r w:rsidR="00B84491">
        <w:t xml:space="preserve"> vegetal</w:t>
      </w:r>
      <w:r w:rsidR="0070181C">
        <w:t xml:space="preserve"> con </w:t>
      </w:r>
      <w:r w:rsidR="00C211AA">
        <w:t xml:space="preserve">baja </w:t>
      </w:r>
      <w:r w:rsidR="0070181C">
        <w:t>biodisponibilidad</w:t>
      </w:r>
      <w:r w:rsidR="0006155B">
        <w:t>.</w:t>
      </w:r>
      <w:r w:rsidR="007F1FAD">
        <w:t xml:space="preserve"> </w:t>
      </w:r>
      <w:r w:rsidR="00B84491">
        <w:t xml:space="preserve">En previos trabajos, se demostró que </w:t>
      </w:r>
      <w:r w:rsidR="00546D6D">
        <w:t>s</w:t>
      </w:r>
      <w:r w:rsidR="00F75F78">
        <w:t>eis</w:t>
      </w:r>
      <w:r w:rsidR="00B84491">
        <w:t xml:space="preserve"> bacterias lácticas </w:t>
      </w:r>
      <w:r w:rsidR="00624596">
        <w:t>(</w:t>
      </w:r>
      <w:proofErr w:type="spellStart"/>
      <w:r w:rsidR="00F30F45" w:rsidRPr="0071591A">
        <w:rPr>
          <w:i/>
        </w:rPr>
        <w:t>Lactiplantibacillus</w:t>
      </w:r>
      <w:proofErr w:type="spellEnd"/>
      <w:r w:rsidR="00F30F45">
        <w:t xml:space="preserve"> </w:t>
      </w:r>
      <w:r w:rsidR="00F30F45" w:rsidRPr="0071591A">
        <w:rPr>
          <w:i/>
        </w:rPr>
        <w:t>plantarum</w:t>
      </w:r>
      <w:r w:rsidR="00F30F45">
        <w:t xml:space="preserve"> CRL 685, CRL 769, CRL 778, CRL 795 y </w:t>
      </w:r>
      <w:proofErr w:type="spellStart"/>
      <w:r w:rsidR="00F30F45" w:rsidRPr="0071591A">
        <w:rPr>
          <w:i/>
        </w:rPr>
        <w:t>Pediococcus</w:t>
      </w:r>
      <w:proofErr w:type="spellEnd"/>
      <w:r w:rsidR="00F30F45" w:rsidRPr="0071591A">
        <w:rPr>
          <w:i/>
        </w:rPr>
        <w:t xml:space="preserve"> </w:t>
      </w:r>
      <w:proofErr w:type="spellStart"/>
      <w:r w:rsidR="00F30F45" w:rsidRPr="00F30F45">
        <w:rPr>
          <w:i/>
        </w:rPr>
        <w:t>acidilacti</w:t>
      </w:r>
      <w:proofErr w:type="spellEnd"/>
      <w:r w:rsidR="00F30F45" w:rsidRPr="00F30F45">
        <w:rPr>
          <w:i/>
        </w:rPr>
        <w:t xml:space="preserve"> </w:t>
      </w:r>
      <w:r w:rsidR="00F30F45">
        <w:t>CRL 773 y CRL 768</w:t>
      </w:r>
      <w:r w:rsidR="00624596">
        <w:t xml:space="preserve">) </w:t>
      </w:r>
      <w:r w:rsidR="00B84491">
        <w:t>fueron capaces de fermenta</w:t>
      </w:r>
      <w:r w:rsidR="00624596">
        <w:t>r</w:t>
      </w:r>
      <w:r w:rsidR="00B84491">
        <w:t xml:space="preserve"> </w:t>
      </w:r>
      <w:r w:rsidR="00C211AA">
        <w:t>un sistema avena/agua</w:t>
      </w:r>
      <w:r w:rsidR="00795275">
        <w:t xml:space="preserve"> (</w:t>
      </w:r>
      <w:r w:rsidR="00C211AA">
        <w:t xml:space="preserve">SAA, </w:t>
      </w:r>
      <w:r w:rsidR="00795275">
        <w:t>1/25</w:t>
      </w:r>
      <w:r w:rsidR="00C211AA">
        <w:t xml:space="preserve"> p/v</w:t>
      </w:r>
      <w:r w:rsidR="00795275">
        <w:t xml:space="preserve">) </w:t>
      </w:r>
      <w:r w:rsidR="00F01F44">
        <w:t xml:space="preserve">sin incrementar significativamente </w:t>
      </w:r>
      <w:r w:rsidR="00624596">
        <w:t>CF</w:t>
      </w:r>
      <w:r w:rsidR="00F01F44">
        <w:t>.</w:t>
      </w:r>
      <w:r w:rsidR="00B84491">
        <w:t xml:space="preserve"> </w:t>
      </w:r>
      <w:r w:rsidR="00D95EBE">
        <w:t>El objetivo de este trabajo</w:t>
      </w:r>
      <w:r w:rsidR="009419D3">
        <w:t xml:space="preserve"> </w:t>
      </w:r>
      <w:r w:rsidR="00624596">
        <w:t>fue</w:t>
      </w:r>
      <w:r w:rsidR="009419D3">
        <w:t xml:space="preserve"> </w:t>
      </w:r>
      <w:r w:rsidR="00624596">
        <w:t xml:space="preserve">evaluar el efecto de la concentración de harina de avena en el </w:t>
      </w:r>
      <w:r w:rsidR="00F75F78">
        <w:t>SAA</w:t>
      </w:r>
      <w:r w:rsidR="00624596">
        <w:t xml:space="preserve"> sobre los parámetros de fermentación láctica</w:t>
      </w:r>
      <w:r w:rsidR="00092E4E">
        <w:t xml:space="preserve"> y </w:t>
      </w:r>
      <w:r w:rsidR="00795275">
        <w:t xml:space="preserve">el </w:t>
      </w:r>
      <w:r w:rsidR="00C211AA">
        <w:t xml:space="preserve">contenido de </w:t>
      </w:r>
      <w:r w:rsidR="00092E4E">
        <w:t>CF</w:t>
      </w:r>
      <w:r w:rsidR="00624596">
        <w:t xml:space="preserve">. </w:t>
      </w:r>
      <w:r w:rsidR="00F75F78">
        <w:t xml:space="preserve">Los </w:t>
      </w:r>
      <w:r w:rsidR="00624596" w:rsidRPr="00624596">
        <w:t>SAA</w:t>
      </w:r>
      <w:r w:rsidR="00624596">
        <w:t xml:space="preserve"> de diferentes relaciones (1/25 y </w:t>
      </w:r>
      <w:r w:rsidR="00624596" w:rsidRPr="00624596">
        <w:t>1/</w:t>
      </w:r>
      <w:r w:rsidR="00624596">
        <w:t>3</w:t>
      </w:r>
      <w:r w:rsidR="00624596" w:rsidRPr="00624596">
        <w:t xml:space="preserve"> p/v</w:t>
      </w:r>
      <w:r w:rsidR="00F75F78">
        <w:t>)</w:t>
      </w:r>
      <w:r w:rsidR="00624596" w:rsidRPr="00624596">
        <w:t xml:space="preserve"> se inocularon individualmente</w:t>
      </w:r>
      <w:r w:rsidR="00624596">
        <w:t xml:space="preserve"> </w:t>
      </w:r>
      <w:r w:rsidR="00795275">
        <w:t>con las</w:t>
      </w:r>
      <w:r w:rsidR="00546D6D">
        <w:t xml:space="preserve"> s</w:t>
      </w:r>
      <w:r w:rsidR="00F75F78">
        <w:t xml:space="preserve">eis </w:t>
      </w:r>
      <w:r w:rsidR="00624596" w:rsidRPr="00624596">
        <w:t xml:space="preserve">cepas </w:t>
      </w:r>
      <w:r w:rsidR="00783C4C">
        <w:t>lácticas</w:t>
      </w:r>
      <w:r w:rsidR="00624596" w:rsidRPr="00624596">
        <w:t xml:space="preserve"> </w:t>
      </w:r>
      <w:r w:rsidR="00546D6D">
        <w:t xml:space="preserve">seleccionadas previamente </w:t>
      </w:r>
      <w:r w:rsidR="00624596" w:rsidRPr="00624596">
        <w:t xml:space="preserve">y se evaluó </w:t>
      </w:r>
      <w:r w:rsidR="00F30F45">
        <w:t xml:space="preserve">el </w:t>
      </w:r>
      <w:r w:rsidR="00624596" w:rsidRPr="00624596">
        <w:t>crecimiento (recuento en placa</w:t>
      </w:r>
      <w:r w:rsidR="00F30F45">
        <w:t>), actividad fermentativa (</w:t>
      </w:r>
      <w:proofErr w:type="spellStart"/>
      <w:r w:rsidR="00F30F45">
        <w:t>conductimetrí</w:t>
      </w:r>
      <w:r w:rsidR="00624596">
        <w:t>a</w:t>
      </w:r>
      <w:proofErr w:type="spellEnd"/>
      <w:r w:rsidR="00624596" w:rsidRPr="00624596">
        <w:t>), acidificación (pH) y CF</w:t>
      </w:r>
      <w:r w:rsidR="003E5A3B">
        <w:t>T</w:t>
      </w:r>
      <w:r w:rsidR="00624596" w:rsidRPr="00624596">
        <w:t xml:space="preserve"> (método de Folin-Ciocalteu). </w:t>
      </w:r>
      <w:r w:rsidR="00F30F45">
        <w:t xml:space="preserve">El crecimiento de las cepas lácticas se incrementó </w:t>
      </w:r>
      <w:r w:rsidR="00F30F45" w:rsidRPr="0067580D">
        <w:t>(</w:t>
      </w:r>
      <w:r w:rsidR="00342D68" w:rsidRPr="0067580D">
        <w:t>1,56-3,26</w:t>
      </w:r>
      <w:r w:rsidR="00F30F45">
        <w:t xml:space="preserve"> unidades logarítmicas</w:t>
      </w:r>
      <w:r w:rsidR="00342D68">
        <w:t>/</w:t>
      </w:r>
      <w:r w:rsidR="0067580D">
        <w:t>mL</w:t>
      </w:r>
      <w:r w:rsidR="00F30F45">
        <w:t xml:space="preserve">) cuando se </w:t>
      </w:r>
      <w:r w:rsidR="00783C4C">
        <w:t>aumentó</w:t>
      </w:r>
      <w:r w:rsidR="00F30F45">
        <w:t xml:space="preserve"> </w:t>
      </w:r>
      <w:r w:rsidR="00783C4C">
        <w:t xml:space="preserve">en el SAA </w:t>
      </w:r>
      <w:r w:rsidR="00F30F45">
        <w:t xml:space="preserve">la relación avena /agua.  Sin embargo, en ambos </w:t>
      </w:r>
      <w:r w:rsidR="00783C4C">
        <w:t>SAA evaluados</w:t>
      </w:r>
      <w:r w:rsidR="00F30F45">
        <w:t xml:space="preserve"> se observó una actividad acidificante similar. </w:t>
      </w:r>
      <w:r w:rsidR="00710BB9">
        <w:t xml:space="preserve">La mayoría de las cepas tuvieron una mayor </w:t>
      </w:r>
      <w:r w:rsidR="00783C4C" w:rsidRPr="00F75F78">
        <w:t xml:space="preserve">velocidad máxima de </w:t>
      </w:r>
      <w:r w:rsidR="00783C4C" w:rsidRPr="00F75F78">
        <w:rPr>
          <w:color w:val="000000"/>
          <w:sz w:val="22"/>
          <w:szCs w:val="22"/>
          <w:lang w:eastAsia="es-ES"/>
        </w:rPr>
        <w:t xml:space="preserve">cambio de </w:t>
      </w:r>
      <w:r w:rsidR="00342D68">
        <w:t>conductancia (VMCC, 0,39-1,</w:t>
      </w:r>
      <w:r w:rsidR="00783C4C" w:rsidRPr="00F75F78">
        <w:t>5</w:t>
      </w:r>
      <w:r w:rsidR="00342D68">
        <w:t>9</w:t>
      </w:r>
      <w:r w:rsidR="00783C4C" w:rsidRPr="00F75F78">
        <w:t xml:space="preserve"> </w:t>
      </w:r>
      <w:r w:rsidR="00710BB9" w:rsidRPr="00F75F78">
        <w:t xml:space="preserve">µS/min) y </w:t>
      </w:r>
      <w:r w:rsidR="00783C4C" w:rsidRPr="00F75F78">
        <w:t>porcentaje de cambio de conductancia (</w:t>
      </w:r>
      <w:r w:rsidR="00710BB9" w:rsidRPr="00F75F78">
        <w:t>PCC</w:t>
      </w:r>
      <w:r w:rsidR="00783C4C" w:rsidRPr="00F75F78">
        <w:t>,</w:t>
      </w:r>
      <w:r w:rsidR="00710BB9" w:rsidRPr="00F75F78">
        <w:t xml:space="preserve"> </w:t>
      </w:r>
      <w:r w:rsidR="00342D68">
        <w:t>40,65</w:t>
      </w:r>
      <w:r w:rsidR="00783C4C" w:rsidRPr="00F75F78">
        <w:t>-75</w:t>
      </w:r>
      <w:r w:rsidR="00342D68">
        <w:t>,02</w:t>
      </w:r>
      <w:r w:rsidR="00783C4C" w:rsidRPr="00F75F78">
        <w:t xml:space="preserve"> %)</w:t>
      </w:r>
      <w:r w:rsidR="00710BB9" w:rsidRPr="00F75F78">
        <w:t xml:space="preserve"> cuando se cultivaron en SAA 1/3</w:t>
      </w:r>
      <w:r w:rsidR="00C211AA">
        <w:t xml:space="preserve"> p/v</w:t>
      </w:r>
      <w:r w:rsidR="00710BB9" w:rsidRPr="00F75F78">
        <w:t xml:space="preserve"> respecto a los valores determinados en el SAA 1/25</w:t>
      </w:r>
      <w:r w:rsidR="00C211AA">
        <w:t xml:space="preserve"> p/v</w:t>
      </w:r>
      <w:r w:rsidR="00710BB9" w:rsidRPr="00F75F78">
        <w:t xml:space="preserve">. </w:t>
      </w:r>
      <w:r w:rsidR="00F75F78" w:rsidRPr="00F75F78">
        <w:t>En los cultivos lácticos en el SAA 1/3</w:t>
      </w:r>
      <w:r w:rsidR="00C211AA">
        <w:t xml:space="preserve"> p/v</w:t>
      </w:r>
      <w:r w:rsidR="00F75F78" w:rsidRPr="00F75F78">
        <w:t xml:space="preserve"> se observó un incremento significativo (</w:t>
      </w:r>
      <w:r w:rsidR="00F75F78" w:rsidRPr="00795275">
        <w:rPr>
          <w:i/>
        </w:rPr>
        <w:t>p</w:t>
      </w:r>
      <w:r w:rsidR="00F75F78" w:rsidRPr="00F75F78">
        <w:t xml:space="preserve"> &lt;0.05) de CF</w:t>
      </w:r>
      <w:r w:rsidR="003E5A3B">
        <w:t xml:space="preserve"> respecto</w:t>
      </w:r>
      <w:r w:rsidR="00795275">
        <w:t xml:space="preserve"> al control SAA sin fermentar.</w:t>
      </w:r>
      <w:r w:rsidR="003E5A3B">
        <w:t xml:space="preserve"> Los resultados sugieren que las bacterias lácticas mostraron mejores parámetros de fermentación en el SAA relación 1/3</w:t>
      </w:r>
      <w:r w:rsidR="00C211AA">
        <w:t xml:space="preserve"> p/v</w:t>
      </w:r>
      <w:r w:rsidR="003E5A3B">
        <w:t xml:space="preserve"> y fueron capaces de </w:t>
      </w:r>
      <w:r w:rsidR="00783C4C" w:rsidRPr="003E5A3B">
        <w:t>incrementa</w:t>
      </w:r>
      <w:r w:rsidR="003E5A3B" w:rsidRPr="003E5A3B">
        <w:t>r el</w:t>
      </w:r>
      <w:r w:rsidR="00C211AA">
        <w:t xml:space="preserve"> contenido de</w:t>
      </w:r>
      <w:r w:rsidR="003E5A3B" w:rsidRPr="003E5A3B">
        <w:t xml:space="preserve"> CF</w:t>
      </w:r>
      <w:r w:rsidR="003E5A3B">
        <w:t xml:space="preserve">, evidenciando que la </w:t>
      </w:r>
      <w:r w:rsidR="0097476A">
        <w:lastRenderedPageBreak/>
        <w:t>fermentación</w:t>
      </w:r>
      <w:r w:rsidR="003E5A3B">
        <w:t xml:space="preserve"> </w:t>
      </w:r>
      <w:r w:rsidR="0097476A">
        <w:t>láctica</w:t>
      </w:r>
      <w:r w:rsidR="003E5A3B">
        <w:t xml:space="preserve"> puede emplearse como </w:t>
      </w:r>
      <w:r w:rsidR="0097476A">
        <w:t>b</w:t>
      </w:r>
      <w:r w:rsidR="003E5A3B" w:rsidRPr="003E5A3B">
        <w:t>ioestrategia para in</w:t>
      </w:r>
      <w:r w:rsidR="00342D68">
        <w:t>crementar el contenido de CF bioa</w:t>
      </w:r>
      <w:r w:rsidR="003E5A3B" w:rsidRPr="003E5A3B">
        <w:t xml:space="preserve">ctivos de </w:t>
      </w:r>
      <w:r w:rsidR="003E5A3B" w:rsidRPr="0097476A">
        <w:rPr>
          <w:i/>
        </w:rPr>
        <w:t>Avena sativa</w:t>
      </w:r>
      <w:r w:rsidR="003E5A3B" w:rsidRPr="003E5A3B">
        <w:t>.</w:t>
      </w:r>
    </w:p>
    <w:p w:rsidR="003E5A3B" w:rsidRPr="003E5A3B" w:rsidRDefault="003E5A3B" w:rsidP="003E5A3B">
      <w:pPr>
        <w:spacing w:after="0" w:line="240" w:lineRule="auto"/>
        <w:ind w:left="0" w:hanging="2"/>
      </w:pPr>
    </w:p>
    <w:p w:rsidR="00783C4C" w:rsidRDefault="00783C4C" w:rsidP="00342D68">
      <w:pPr>
        <w:spacing w:after="0" w:line="240" w:lineRule="auto"/>
        <w:ind w:leftChars="0" w:left="0" w:firstLineChars="0" w:firstLine="0"/>
      </w:pPr>
    </w:p>
    <w:p w:rsidR="00783C4C" w:rsidRDefault="00783C4C" w:rsidP="00342D68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C211AA">
        <w:t>Avena</w:t>
      </w:r>
      <w:r w:rsidRPr="006A5E53">
        <w:t xml:space="preserve">, </w:t>
      </w:r>
      <w:r w:rsidR="00C211AA">
        <w:t xml:space="preserve">Bacterias lácticas, </w:t>
      </w:r>
      <w:r w:rsidRPr="006A5E53">
        <w:t>Compuestos fenólicos.</w:t>
      </w:r>
    </w:p>
    <w:sectPr w:rsidR="00783C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7A" w:rsidRDefault="00C86D7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86D7A" w:rsidRDefault="00C86D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7A" w:rsidRDefault="00C86D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86D7A" w:rsidRDefault="00C86D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03" w:rsidRDefault="009F01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3"/>
    <w:rsid w:val="0006155B"/>
    <w:rsid w:val="00092E4E"/>
    <w:rsid w:val="00093140"/>
    <w:rsid w:val="000C3C58"/>
    <w:rsid w:val="00212DB4"/>
    <w:rsid w:val="002B2917"/>
    <w:rsid w:val="00334A78"/>
    <w:rsid w:val="00342D68"/>
    <w:rsid w:val="00347C0D"/>
    <w:rsid w:val="0035437E"/>
    <w:rsid w:val="003C76DE"/>
    <w:rsid w:val="003E5A3B"/>
    <w:rsid w:val="004312DB"/>
    <w:rsid w:val="004C3879"/>
    <w:rsid w:val="004F6A34"/>
    <w:rsid w:val="00546D6D"/>
    <w:rsid w:val="00624596"/>
    <w:rsid w:val="0067580D"/>
    <w:rsid w:val="006A5E53"/>
    <w:rsid w:val="006F2F24"/>
    <w:rsid w:val="0070181C"/>
    <w:rsid w:val="00710BB9"/>
    <w:rsid w:val="007115B3"/>
    <w:rsid w:val="0071591A"/>
    <w:rsid w:val="007209F5"/>
    <w:rsid w:val="00783C4C"/>
    <w:rsid w:val="00784E3E"/>
    <w:rsid w:val="007879A2"/>
    <w:rsid w:val="00795275"/>
    <w:rsid w:val="007F1FAD"/>
    <w:rsid w:val="00800719"/>
    <w:rsid w:val="009419D3"/>
    <w:rsid w:val="0097476A"/>
    <w:rsid w:val="009873B1"/>
    <w:rsid w:val="009F01F5"/>
    <w:rsid w:val="00A21D66"/>
    <w:rsid w:val="00A33D39"/>
    <w:rsid w:val="00AD7F59"/>
    <w:rsid w:val="00B17B0A"/>
    <w:rsid w:val="00B4402D"/>
    <w:rsid w:val="00B84491"/>
    <w:rsid w:val="00BD391D"/>
    <w:rsid w:val="00C211AA"/>
    <w:rsid w:val="00C86D7A"/>
    <w:rsid w:val="00C97EF4"/>
    <w:rsid w:val="00CE3FEE"/>
    <w:rsid w:val="00D63610"/>
    <w:rsid w:val="00D95EBE"/>
    <w:rsid w:val="00DA5E94"/>
    <w:rsid w:val="00E34CE6"/>
    <w:rsid w:val="00E57452"/>
    <w:rsid w:val="00EA6C21"/>
    <w:rsid w:val="00EB3D51"/>
    <w:rsid w:val="00EC5A03"/>
    <w:rsid w:val="00F01F44"/>
    <w:rsid w:val="00F06FA6"/>
    <w:rsid w:val="00F11359"/>
    <w:rsid w:val="00F232FC"/>
    <w:rsid w:val="00F25091"/>
    <w:rsid w:val="00F26A75"/>
    <w:rsid w:val="00F30F45"/>
    <w:rsid w:val="00F34282"/>
    <w:rsid w:val="00F40C27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B64F"/>
  <w15:docId w15:val="{FCD19FAE-463F-4D43-BD68-B210991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6F2F24"/>
    <w:rPr>
      <w:i/>
      <w:iCs/>
    </w:rPr>
  </w:style>
  <w:style w:type="paragraph" w:customStyle="1" w:styleId="Estilo2">
    <w:name w:val="Estilo2"/>
    <w:basedOn w:val="Normal"/>
    <w:link w:val="Estilo2Car"/>
    <w:qFormat/>
    <w:rsid w:val="00624596"/>
    <w:pPr>
      <w:suppressAutoHyphens w:val="0"/>
      <w:spacing w:after="0" w:line="360" w:lineRule="auto"/>
      <w:ind w:leftChars="0" w:left="0" w:firstLineChars="0" w:firstLine="709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s-ES"/>
    </w:rPr>
  </w:style>
  <w:style w:type="character" w:customStyle="1" w:styleId="Estilo2Car">
    <w:name w:val="Estilo2 Car"/>
    <w:basedOn w:val="Fuentedeprrafopredeter"/>
    <w:link w:val="Estilo2"/>
    <w:rsid w:val="00624596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E4B3A8-0D3D-46EF-B31C-31A18F9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Agustín Carabajal Torrez</cp:lastModifiedBy>
  <cp:revision>5</cp:revision>
  <dcterms:created xsi:type="dcterms:W3CDTF">2022-07-05T15:29:00Z</dcterms:created>
  <dcterms:modified xsi:type="dcterms:W3CDTF">2022-07-05T19:12:00Z</dcterms:modified>
</cp:coreProperties>
</file>