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1" w:rsidRDefault="00E63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E63F62">
        <w:rPr>
          <w:b/>
          <w:color w:val="000000"/>
        </w:rPr>
        <w:t>Producción a escala piloto de un fermento láctico para mejorar productos panificados sin gluten</w:t>
      </w:r>
    </w:p>
    <w:p w:rsidR="00E06E21" w:rsidRDefault="00E06E21">
      <w:pPr>
        <w:spacing w:after="0" w:line="240" w:lineRule="auto"/>
        <w:ind w:left="0" w:hanging="2"/>
        <w:jc w:val="center"/>
      </w:pPr>
    </w:p>
    <w:p w:rsidR="00E63F62" w:rsidRDefault="00E63F62" w:rsidP="00E63F62">
      <w:pPr>
        <w:widowControl w:val="0"/>
        <w:autoSpaceDE w:val="0"/>
        <w:autoSpaceDN w:val="0"/>
        <w:spacing w:line="240" w:lineRule="auto"/>
        <w:ind w:left="0" w:hanging="2"/>
        <w:jc w:val="center"/>
        <w:rPr>
          <w:rFonts w:eastAsia="Malgun Gothic"/>
          <w:kern w:val="2"/>
          <w:vertAlign w:val="superscript"/>
          <w:lang w:eastAsia="ko-KR"/>
        </w:rPr>
      </w:pPr>
      <w:r w:rsidRPr="001469AF">
        <w:rPr>
          <w:rFonts w:eastAsia="Malgun Gothic"/>
          <w:kern w:val="2"/>
          <w:lang w:eastAsia="ko-KR"/>
        </w:rPr>
        <w:t xml:space="preserve">Lancelle </w:t>
      </w:r>
      <w:proofErr w:type="spellStart"/>
      <w:r w:rsidRPr="001469AF">
        <w:rPr>
          <w:rFonts w:eastAsia="Malgun Gothic"/>
          <w:kern w:val="2"/>
          <w:lang w:eastAsia="ko-KR"/>
        </w:rPr>
        <w:t>Cedrolla</w:t>
      </w:r>
      <w:proofErr w:type="spellEnd"/>
      <w:r w:rsidRPr="001469AF">
        <w:rPr>
          <w:rFonts w:eastAsia="Malgun Gothic"/>
          <w:kern w:val="2"/>
          <w:lang w:eastAsia="ko-KR"/>
        </w:rPr>
        <w:t xml:space="preserve"> </w:t>
      </w:r>
      <w:r w:rsidRPr="001B0CD3">
        <w:rPr>
          <w:rFonts w:eastAsia="Malgun Gothic"/>
          <w:kern w:val="2"/>
          <w:lang w:eastAsia="ko-KR"/>
        </w:rPr>
        <w:t>MV</w:t>
      </w:r>
      <w:r>
        <w:rPr>
          <w:rFonts w:eastAsia="Malgun Gothic"/>
          <w:kern w:val="2"/>
          <w:lang w:eastAsia="ko-KR"/>
        </w:rPr>
        <w:t xml:space="preserve"> (3)</w:t>
      </w:r>
      <w:r w:rsidRPr="001B0CD3">
        <w:rPr>
          <w:rFonts w:eastAsia="Malgun Gothic"/>
          <w:kern w:val="2"/>
          <w:lang w:eastAsia="ko-KR"/>
        </w:rPr>
        <w:t>, Gu</w:t>
      </w:r>
      <w:r w:rsidRPr="001469AF">
        <w:rPr>
          <w:rFonts w:eastAsia="Malgun Gothic"/>
          <w:kern w:val="2"/>
          <w:lang w:eastAsia="ko-KR"/>
        </w:rPr>
        <w:t xml:space="preserve">glielmotti </w:t>
      </w:r>
      <w:r>
        <w:rPr>
          <w:rFonts w:eastAsia="Malgun Gothic"/>
          <w:kern w:val="2"/>
          <w:lang w:eastAsia="ko-KR"/>
        </w:rPr>
        <w:t>D</w:t>
      </w:r>
      <w:r w:rsidRPr="001469AF">
        <w:rPr>
          <w:rFonts w:eastAsia="Malgun Gothic"/>
          <w:kern w:val="2"/>
          <w:lang w:eastAsia="ko-KR"/>
        </w:rPr>
        <w:t>M</w:t>
      </w:r>
      <w:r>
        <w:rPr>
          <w:rFonts w:eastAsia="Malgun Gothic"/>
          <w:kern w:val="2"/>
          <w:lang w:eastAsia="ko-KR"/>
        </w:rPr>
        <w:t xml:space="preserve"> (1)</w:t>
      </w:r>
      <w:r w:rsidRPr="001469AF">
        <w:rPr>
          <w:rFonts w:eastAsia="Malgun Gothic"/>
          <w:kern w:val="2"/>
          <w:lang w:eastAsia="ko-KR"/>
        </w:rPr>
        <w:t>, Quiberoni A</w:t>
      </w:r>
      <w:r>
        <w:rPr>
          <w:rFonts w:eastAsia="Malgun Gothic"/>
          <w:kern w:val="2"/>
          <w:vertAlign w:val="superscript"/>
          <w:lang w:eastAsia="ko-KR"/>
        </w:rPr>
        <w:t xml:space="preserve"> </w:t>
      </w:r>
      <w:r>
        <w:rPr>
          <w:rFonts w:eastAsia="Malgun Gothic"/>
          <w:kern w:val="2"/>
          <w:lang w:eastAsia="ko-KR"/>
        </w:rPr>
        <w:t>(1)</w:t>
      </w:r>
      <w:r w:rsidRPr="001469AF">
        <w:rPr>
          <w:rFonts w:eastAsia="Malgun Gothic"/>
          <w:kern w:val="2"/>
          <w:lang w:eastAsia="ko-KR"/>
        </w:rPr>
        <w:t>, Osella CA</w:t>
      </w:r>
      <w:r>
        <w:rPr>
          <w:rFonts w:eastAsia="Malgun Gothic"/>
          <w:kern w:val="2"/>
          <w:lang w:eastAsia="ko-KR"/>
        </w:rPr>
        <w:t xml:space="preserve"> (2)</w:t>
      </w:r>
      <w:r w:rsidRPr="001469AF">
        <w:rPr>
          <w:rFonts w:eastAsia="Malgun Gothic"/>
          <w:kern w:val="2"/>
          <w:lang w:eastAsia="ko-KR"/>
        </w:rPr>
        <w:t xml:space="preserve">, </w:t>
      </w:r>
      <w:bookmarkStart w:id="0" w:name="_GoBack"/>
      <w:bookmarkEnd w:id="0"/>
      <w:r w:rsidRPr="001469AF">
        <w:rPr>
          <w:rFonts w:eastAsia="Malgun Gothic"/>
          <w:kern w:val="2"/>
          <w:lang w:eastAsia="ko-KR"/>
        </w:rPr>
        <w:t>de la Torre MAG</w:t>
      </w:r>
      <w:r>
        <w:rPr>
          <w:rFonts w:eastAsia="Malgun Gothic"/>
          <w:kern w:val="2"/>
          <w:lang w:eastAsia="ko-KR"/>
        </w:rPr>
        <w:t xml:space="preserve"> (2)</w:t>
      </w:r>
      <w:r w:rsidRPr="001469AF">
        <w:rPr>
          <w:rFonts w:eastAsia="Malgun Gothic"/>
          <w:kern w:val="2"/>
          <w:lang w:eastAsia="ko-KR"/>
        </w:rPr>
        <w:t>, Capra ML</w:t>
      </w:r>
      <w:r>
        <w:rPr>
          <w:rFonts w:eastAsia="Malgun Gothic"/>
          <w:kern w:val="2"/>
          <w:lang w:eastAsia="ko-KR"/>
        </w:rPr>
        <w:t xml:space="preserve"> (1)</w:t>
      </w:r>
    </w:p>
    <w:p w:rsidR="00E06E21" w:rsidRDefault="00E06E21">
      <w:pPr>
        <w:spacing w:after="0" w:line="240" w:lineRule="auto"/>
        <w:ind w:left="0" w:hanging="2"/>
        <w:jc w:val="center"/>
      </w:pPr>
    </w:p>
    <w:p w:rsidR="00E63F62" w:rsidRDefault="00E63F62" w:rsidP="00E63F62">
      <w:pPr>
        <w:widowControl w:val="0"/>
        <w:autoSpaceDE w:val="0"/>
        <w:autoSpaceDN w:val="0"/>
        <w:spacing w:line="240" w:lineRule="auto"/>
        <w:ind w:left="0" w:hanging="2"/>
        <w:jc w:val="left"/>
        <w:rPr>
          <w:lang w:val="es-ES"/>
        </w:rPr>
      </w:pPr>
      <w:r>
        <w:rPr>
          <w:rFonts w:eastAsia="Malgun Gothic"/>
          <w:kern w:val="2"/>
          <w:lang w:eastAsia="ko-KR"/>
        </w:rPr>
        <w:t xml:space="preserve">(1) </w:t>
      </w:r>
      <w:r w:rsidRPr="001469AF">
        <w:rPr>
          <w:rFonts w:eastAsia="Malgun Gothic"/>
          <w:kern w:val="2"/>
          <w:lang w:eastAsia="ko-KR"/>
        </w:rPr>
        <w:t xml:space="preserve">Instituto de </w:t>
      </w:r>
      <w:proofErr w:type="spellStart"/>
      <w:r w:rsidRPr="001469AF">
        <w:rPr>
          <w:rFonts w:eastAsia="Malgun Gothic"/>
          <w:kern w:val="2"/>
          <w:lang w:eastAsia="ko-KR"/>
        </w:rPr>
        <w:t>Lactología</w:t>
      </w:r>
      <w:proofErr w:type="spellEnd"/>
      <w:r w:rsidRPr="001469AF">
        <w:rPr>
          <w:rFonts w:eastAsia="Malgun Gothic"/>
          <w:kern w:val="2"/>
          <w:lang w:eastAsia="ko-KR"/>
        </w:rPr>
        <w:t xml:space="preserve"> Industrial (INLAIN, UNL-CONICET), </w:t>
      </w:r>
      <w:r w:rsidRPr="001469AF">
        <w:rPr>
          <w:lang w:val="es-ES"/>
        </w:rPr>
        <w:t xml:space="preserve">Facultad de Ingeniería Química, Universidad Nacional del Litoral, </w:t>
      </w:r>
      <w:r>
        <w:rPr>
          <w:lang w:val="es-ES"/>
        </w:rPr>
        <w:t xml:space="preserve">Santiago del Estero 2829, </w:t>
      </w:r>
      <w:r w:rsidRPr="001469AF">
        <w:rPr>
          <w:lang w:val="es-ES"/>
        </w:rPr>
        <w:t xml:space="preserve">Santa Fe, </w:t>
      </w:r>
      <w:r>
        <w:rPr>
          <w:lang w:val="es-ES"/>
        </w:rPr>
        <w:t xml:space="preserve">Santa Fe, </w:t>
      </w:r>
      <w:r w:rsidRPr="001469AF">
        <w:rPr>
          <w:lang w:val="es-ES"/>
        </w:rPr>
        <w:t>Argentina</w:t>
      </w:r>
      <w:r>
        <w:rPr>
          <w:lang w:val="es-ES"/>
        </w:rPr>
        <w:t xml:space="preserve">. </w:t>
      </w:r>
    </w:p>
    <w:p w:rsidR="00E63F62" w:rsidRDefault="00E63F62" w:rsidP="00E63F62">
      <w:pPr>
        <w:widowControl w:val="0"/>
        <w:autoSpaceDE w:val="0"/>
        <w:autoSpaceDN w:val="0"/>
        <w:spacing w:line="240" w:lineRule="auto"/>
        <w:ind w:left="0" w:hanging="2"/>
        <w:jc w:val="left"/>
        <w:rPr>
          <w:lang w:val="es-ES"/>
        </w:rPr>
      </w:pPr>
      <w:r w:rsidRPr="00E63F62">
        <w:rPr>
          <w:rFonts w:eastAsia="Malgun Gothic"/>
          <w:kern w:val="2"/>
          <w:lang w:val="es-ES" w:eastAsia="ko-KR"/>
        </w:rPr>
        <w:t>(</w:t>
      </w:r>
      <w:r>
        <w:rPr>
          <w:rFonts w:eastAsia="Malgun Gothic"/>
          <w:kern w:val="2"/>
          <w:lang w:val="es-ES" w:eastAsia="ko-KR"/>
        </w:rPr>
        <w:t>2</w:t>
      </w:r>
      <w:r w:rsidRPr="00E63F62">
        <w:rPr>
          <w:rFonts w:eastAsia="Malgun Gothic"/>
          <w:kern w:val="2"/>
          <w:lang w:val="es-ES" w:eastAsia="ko-KR"/>
        </w:rPr>
        <w:t>)</w:t>
      </w:r>
      <w:r>
        <w:rPr>
          <w:rFonts w:eastAsia="Malgun Gothic"/>
          <w:kern w:val="2"/>
          <w:lang w:eastAsia="ko-KR"/>
        </w:rPr>
        <w:t xml:space="preserve"> </w:t>
      </w:r>
      <w:r w:rsidRPr="001469AF">
        <w:rPr>
          <w:rFonts w:eastAsia="Malgun Gothic"/>
          <w:kern w:val="2"/>
          <w:lang w:eastAsia="ko-KR"/>
        </w:rPr>
        <w:t xml:space="preserve">Instituto de Tecnología de Alimentos (ITA), </w:t>
      </w:r>
      <w:r w:rsidRPr="001469AF">
        <w:rPr>
          <w:lang w:val="es-ES"/>
        </w:rPr>
        <w:t>Facultad de Ingeniería Química, Universidad Nacional del Litoral,</w:t>
      </w:r>
      <w:r>
        <w:rPr>
          <w:lang w:val="es-ES"/>
        </w:rPr>
        <w:t xml:space="preserve"> Santiago del Estero 2829, Santa Fe,</w:t>
      </w:r>
      <w:r w:rsidRPr="001469AF">
        <w:rPr>
          <w:lang w:val="es-ES"/>
        </w:rPr>
        <w:t xml:space="preserve"> Santa Fe, Argentina</w:t>
      </w:r>
      <w:r>
        <w:rPr>
          <w:lang w:val="es-ES"/>
        </w:rPr>
        <w:t>.</w:t>
      </w:r>
    </w:p>
    <w:p w:rsidR="00E63F62" w:rsidRDefault="00E63F62" w:rsidP="00E63F62">
      <w:pPr>
        <w:spacing w:after="120" w:line="240" w:lineRule="auto"/>
        <w:ind w:left="0" w:hanging="2"/>
        <w:jc w:val="left"/>
      </w:pPr>
      <w:r>
        <w:rPr>
          <w:rFonts w:eastAsia="Malgun Gothic"/>
          <w:kern w:val="2"/>
          <w:lang w:eastAsia="ko-KR"/>
        </w:rPr>
        <w:t xml:space="preserve">(3) </w:t>
      </w:r>
      <w:r w:rsidRPr="008A5FA5">
        <w:rPr>
          <w:rFonts w:eastAsia="Malgun Gothic"/>
          <w:kern w:val="2"/>
          <w:lang w:eastAsia="ko-KR"/>
        </w:rPr>
        <w:t>Departamento de Tecnología de Ali</w:t>
      </w:r>
      <w:r>
        <w:rPr>
          <w:rFonts w:eastAsia="Malgun Gothic"/>
          <w:kern w:val="2"/>
          <w:lang w:eastAsia="ko-KR"/>
        </w:rPr>
        <w:t>m</w:t>
      </w:r>
      <w:r w:rsidRPr="008A5FA5">
        <w:rPr>
          <w:rFonts w:eastAsia="Malgun Gothic"/>
          <w:kern w:val="2"/>
          <w:lang w:eastAsia="ko-KR"/>
        </w:rPr>
        <w:t>e</w:t>
      </w:r>
      <w:r>
        <w:rPr>
          <w:rFonts w:eastAsia="Malgun Gothic"/>
          <w:kern w:val="2"/>
          <w:lang w:eastAsia="ko-KR"/>
        </w:rPr>
        <w:t>n</w:t>
      </w:r>
      <w:r w:rsidRPr="008A5FA5">
        <w:rPr>
          <w:rFonts w:eastAsia="Malgun Gothic"/>
          <w:kern w:val="2"/>
          <w:lang w:eastAsia="ko-KR"/>
        </w:rPr>
        <w:t>tos y Biotecnología</w:t>
      </w:r>
      <w:r w:rsidRPr="001B0CD3">
        <w:rPr>
          <w:rFonts w:eastAsia="Malgun Gothic"/>
          <w:kern w:val="2"/>
          <w:lang w:eastAsia="ko-KR"/>
        </w:rPr>
        <w:t>,</w:t>
      </w:r>
      <w:r w:rsidRPr="001469AF">
        <w:rPr>
          <w:rFonts w:eastAsia="Malgun Gothic"/>
          <w:kern w:val="2"/>
          <w:lang w:eastAsia="ko-KR"/>
        </w:rPr>
        <w:t xml:space="preserve"> </w:t>
      </w:r>
      <w:r w:rsidRPr="001469AF">
        <w:rPr>
          <w:lang w:val="es-ES"/>
        </w:rPr>
        <w:t xml:space="preserve">Facultad de Ingeniería Química, Universidad Nacional del Litoral, </w:t>
      </w:r>
      <w:r>
        <w:rPr>
          <w:lang w:val="es-ES"/>
        </w:rPr>
        <w:t xml:space="preserve">Santiago del Estero 2829, Santa Fe, </w:t>
      </w:r>
      <w:r w:rsidRPr="001469AF">
        <w:rPr>
          <w:lang w:val="es-ES"/>
        </w:rPr>
        <w:t>Santa Fe, Argentina</w:t>
      </w:r>
      <w:r>
        <w:rPr>
          <w:lang w:val="es-ES"/>
        </w:rPr>
        <w:t>.</w:t>
      </w:r>
    </w:p>
    <w:p w:rsidR="00E06E21" w:rsidRDefault="005B3EB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</w:t>
      </w:r>
      <w:r w:rsidR="006D704A">
        <w:rPr>
          <w:color w:val="000000"/>
        </w:rPr>
        <w:t>n</w:t>
      </w:r>
      <w:r>
        <w:rPr>
          <w:color w:val="000000"/>
        </w:rPr>
        <w:t xml:space="preserve"> d</w:t>
      </w:r>
      <w:r w:rsidR="00AF281F">
        <w:rPr>
          <w:color w:val="000000"/>
        </w:rPr>
        <w:t>e e-mail:</w:t>
      </w:r>
      <w:r w:rsidR="006D704A">
        <w:rPr>
          <w:color w:val="000000"/>
        </w:rPr>
        <w:t xml:space="preserve"> </w:t>
      </w:r>
      <w:hyperlink r:id="rId8" w:history="1">
        <w:r w:rsidRPr="00884A28">
          <w:rPr>
            <w:rStyle w:val="Hipervnculo"/>
          </w:rPr>
          <w:t>mcapra@fbcb.unl.edu.ar</w:t>
        </w:r>
      </w:hyperlink>
    </w:p>
    <w:p w:rsidR="00E06E21" w:rsidRDefault="00E06E21">
      <w:pPr>
        <w:spacing w:after="0" w:line="240" w:lineRule="auto"/>
        <w:ind w:left="0" w:hanging="2"/>
      </w:pPr>
    </w:p>
    <w:p w:rsidR="00E06E21" w:rsidRDefault="00AF281F">
      <w:pPr>
        <w:spacing w:after="0" w:line="240" w:lineRule="auto"/>
        <w:ind w:left="0" w:hanging="2"/>
      </w:pPr>
      <w:r>
        <w:t>RESUMEN</w:t>
      </w:r>
    </w:p>
    <w:p w:rsidR="00E06E21" w:rsidRDefault="00E06E21">
      <w:pPr>
        <w:spacing w:after="0" w:line="240" w:lineRule="auto"/>
        <w:ind w:left="0" w:hanging="2"/>
      </w:pPr>
    </w:p>
    <w:p w:rsidR="00CD558F" w:rsidRPr="001469AF" w:rsidRDefault="00CD558F" w:rsidP="00CD558F">
      <w:pPr>
        <w:spacing w:line="240" w:lineRule="auto"/>
        <w:ind w:left="0" w:hanging="2"/>
        <w:rPr>
          <w:rFonts w:eastAsia="Malgun Gothic"/>
          <w:lang w:eastAsia="ko-KR"/>
        </w:rPr>
      </w:pPr>
      <w:proofErr w:type="spellStart"/>
      <w:r w:rsidRPr="00395901">
        <w:rPr>
          <w:i/>
        </w:rPr>
        <w:t>Weissella</w:t>
      </w:r>
      <w:proofErr w:type="spellEnd"/>
      <w:r w:rsidRPr="00395901">
        <w:rPr>
          <w:i/>
        </w:rPr>
        <w:t xml:space="preserve"> cibaria</w:t>
      </w:r>
      <w:r w:rsidRPr="00395901">
        <w:t xml:space="preserve"> W20 es un bacilo láctico heterofermentante que mejora la textura y las propiedades organolépticas</w:t>
      </w:r>
      <w:r w:rsidRPr="00395901">
        <w:rPr>
          <w:rFonts w:eastAsia="Malgun Gothic"/>
          <w:lang w:eastAsia="ko-KR"/>
        </w:rPr>
        <w:t xml:space="preserve"> de pan de molde y pan dulce sin gluten por fermentación prolongada de</w:t>
      </w:r>
      <w:r w:rsidRPr="001469AF">
        <w:rPr>
          <w:rFonts w:eastAsia="Malgun Gothic"/>
          <w:lang w:eastAsia="ko-KR"/>
        </w:rPr>
        <w:t xml:space="preserve"> </w:t>
      </w:r>
      <w:proofErr w:type="spellStart"/>
      <w:r w:rsidRPr="001469AF">
        <w:rPr>
          <w:rFonts w:eastAsia="Malgun Gothic"/>
          <w:lang w:eastAsia="ko-KR"/>
        </w:rPr>
        <w:t>premezclas</w:t>
      </w:r>
      <w:proofErr w:type="spellEnd"/>
      <w:r w:rsidRPr="001469AF">
        <w:rPr>
          <w:rFonts w:eastAsia="Malgun Gothic"/>
          <w:lang w:eastAsia="ko-KR"/>
        </w:rPr>
        <w:t xml:space="preserve"> sin TACC utilizadas en sus elaboraciones. El cultivo láctico </w:t>
      </w:r>
      <w:r w:rsidRPr="00ED5D09">
        <w:rPr>
          <w:rFonts w:eastAsia="Malgun Gothic"/>
          <w:lang w:eastAsia="ko-KR"/>
        </w:rPr>
        <w:t xml:space="preserve">propaga </w:t>
      </w:r>
      <w:r w:rsidRPr="001469AF">
        <w:rPr>
          <w:rFonts w:eastAsia="Malgun Gothic"/>
          <w:lang w:eastAsia="ko-KR"/>
        </w:rPr>
        <w:t xml:space="preserve">eficientemente en reactor tanque agitado de escala laboratorio (2 L), </w:t>
      </w:r>
      <w:r w:rsidRPr="00F36C62">
        <w:rPr>
          <w:rFonts w:eastAsia="Malgun Gothic"/>
          <w:lang w:eastAsia="ko-KR"/>
        </w:rPr>
        <w:t xml:space="preserve">usando un </w:t>
      </w:r>
      <w:r w:rsidRPr="001469AF">
        <w:rPr>
          <w:rFonts w:eastAsia="Malgun Gothic"/>
          <w:lang w:eastAsia="ko-KR"/>
        </w:rPr>
        <w:t xml:space="preserve">medio de cultivo (control) en base a un subproducto de la industria láctea, permeado de suero de quesería, adicionado de extracto de levadura (EL) y </w:t>
      </w:r>
      <w:proofErr w:type="spellStart"/>
      <w:r w:rsidRPr="001469AF">
        <w:rPr>
          <w:rFonts w:eastAsia="Malgun Gothic"/>
          <w:lang w:eastAsia="ko-KR"/>
        </w:rPr>
        <w:t>tripteína</w:t>
      </w:r>
      <w:proofErr w:type="spellEnd"/>
      <w:r w:rsidRPr="001469AF">
        <w:rPr>
          <w:rFonts w:eastAsia="Malgun Gothic"/>
          <w:lang w:eastAsia="ko-KR"/>
        </w:rPr>
        <w:t xml:space="preserve"> bacteriológica (TB) -ambos componentes de calidad para uso de laboratorio- como fuentes de nitrógeno accesibles para la bacteria láctica. Los objetivos del trabajo </w:t>
      </w:r>
      <w:r w:rsidRPr="0063292A">
        <w:rPr>
          <w:rFonts w:eastAsia="Malgun Gothic"/>
          <w:lang w:eastAsia="ko-KR"/>
        </w:rPr>
        <w:t xml:space="preserve">fueron: i) escalar la producción </w:t>
      </w:r>
      <w:r w:rsidRPr="001469AF">
        <w:rPr>
          <w:rFonts w:eastAsia="Malgun Gothic"/>
          <w:lang w:eastAsia="ko-KR"/>
        </w:rPr>
        <w:t xml:space="preserve">del fermento a un reactor de 15 L, reemplazando EL y TB por compuestos análogos de calidad industrial; ii) evaluar la conservación del fermento como cultivo concentrado </w:t>
      </w:r>
      <w:r w:rsidRPr="003F4A24">
        <w:rPr>
          <w:rFonts w:eastAsia="Malgun Gothic"/>
          <w:lang w:eastAsia="ko-KR"/>
        </w:rPr>
        <w:t xml:space="preserve">congelado (CC); iii) </w:t>
      </w:r>
      <w:r w:rsidRPr="001469AF">
        <w:rPr>
          <w:rFonts w:eastAsia="Malgun Gothic"/>
          <w:lang w:eastAsia="ko-KR"/>
        </w:rPr>
        <w:t>ensayar la aptitud del C</w:t>
      </w:r>
      <w:r>
        <w:rPr>
          <w:rFonts w:eastAsia="Malgun Gothic"/>
          <w:lang w:eastAsia="ko-KR"/>
        </w:rPr>
        <w:t>C</w:t>
      </w:r>
      <w:r w:rsidRPr="001469AF">
        <w:rPr>
          <w:rFonts w:eastAsia="Malgun Gothic"/>
          <w:lang w:eastAsia="ko-KR"/>
        </w:rPr>
        <w:t xml:space="preserve"> utilizado como fermento directo para fermentar una premezcla base sin TACC para elaborar pan sin gluten. En ensayos preliminares se probaron reemplazos para EL (Extracto de levadura YE-MF, BIONIS) y cuatro opciones para TB (Peptona de caseína Plus, Peptona de soja y </w:t>
      </w:r>
      <w:proofErr w:type="spellStart"/>
      <w:r w:rsidRPr="001469AF">
        <w:rPr>
          <w:rFonts w:eastAsia="Malgun Gothic"/>
          <w:lang w:eastAsia="ko-KR"/>
        </w:rPr>
        <w:t>Triptona</w:t>
      </w:r>
      <w:proofErr w:type="spellEnd"/>
      <w:r w:rsidRPr="001469AF">
        <w:rPr>
          <w:rFonts w:eastAsia="Malgun Gothic"/>
          <w:lang w:eastAsia="ko-KR"/>
        </w:rPr>
        <w:t xml:space="preserve"> Plus, marca BIONIS y </w:t>
      </w:r>
      <w:proofErr w:type="spellStart"/>
      <w:r w:rsidRPr="001469AF">
        <w:rPr>
          <w:rFonts w:eastAsia="Malgun Gothic"/>
          <w:lang w:eastAsia="ko-KR"/>
        </w:rPr>
        <w:t>Pluripeptona</w:t>
      </w:r>
      <w:proofErr w:type="spellEnd"/>
      <w:r w:rsidRPr="001469AF">
        <w:rPr>
          <w:rFonts w:eastAsia="Malgun Gothic"/>
          <w:lang w:eastAsia="ko-KR"/>
        </w:rPr>
        <w:t xml:space="preserve">, </w:t>
      </w:r>
      <w:proofErr w:type="spellStart"/>
      <w:r w:rsidRPr="001469AF">
        <w:rPr>
          <w:rFonts w:eastAsia="Malgun Gothic"/>
          <w:lang w:eastAsia="ko-KR"/>
        </w:rPr>
        <w:t>Microquin</w:t>
      </w:r>
      <w:proofErr w:type="spellEnd"/>
      <w:r w:rsidRPr="001469AF">
        <w:rPr>
          <w:rFonts w:eastAsia="Malgun Gothic"/>
          <w:lang w:eastAsia="ko-KR"/>
        </w:rPr>
        <w:t xml:space="preserve">). No se obtuvieron diferencias significativas (p=0,05) para ningún reemplazo o combinación, en comparación con el medio control; adoptándose YE-MF y </w:t>
      </w:r>
      <w:proofErr w:type="spellStart"/>
      <w:r w:rsidRPr="001469AF">
        <w:rPr>
          <w:rFonts w:eastAsia="Malgun Gothic"/>
          <w:lang w:eastAsia="ko-KR"/>
        </w:rPr>
        <w:t>Pluripeptona</w:t>
      </w:r>
      <w:proofErr w:type="spellEnd"/>
      <w:r w:rsidRPr="001469AF">
        <w:rPr>
          <w:rFonts w:eastAsia="Malgun Gothic"/>
          <w:lang w:eastAsia="ko-KR"/>
        </w:rPr>
        <w:t xml:space="preserve"> </w:t>
      </w:r>
      <w:proofErr w:type="spellStart"/>
      <w:r w:rsidRPr="001469AF">
        <w:rPr>
          <w:rFonts w:eastAsia="Malgun Gothic"/>
          <w:lang w:eastAsia="ko-KR"/>
        </w:rPr>
        <w:t>Microquin</w:t>
      </w:r>
      <w:proofErr w:type="spellEnd"/>
      <w:r w:rsidRPr="001469AF">
        <w:rPr>
          <w:rFonts w:eastAsia="Malgun Gothic"/>
          <w:lang w:eastAsia="ko-KR"/>
        </w:rPr>
        <w:t xml:space="preserve"> (fácil disponibilidad al ser producida por una firma local). El medio adaptado al escalado se probó en un reactor de 15 L (volumen efectivo) con tambor de acero inoxidable con pulido calidad sanitaria, agitador magnético de dobles paletas planas, con control de pH, temperatura y agitación. Las condiciones usadas fueron las mismas (</w:t>
      </w:r>
      <w:r>
        <w:rPr>
          <w:rFonts w:eastAsia="Malgun Gothic"/>
          <w:lang w:eastAsia="ko-KR"/>
        </w:rPr>
        <w:t>10</w:t>
      </w:r>
      <w:r w:rsidRPr="003F4A24">
        <w:rPr>
          <w:rFonts w:eastAsia="Malgun Gothic"/>
          <w:vertAlign w:val="superscript"/>
          <w:lang w:eastAsia="ko-KR"/>
        </w:rPr>
        <w:t>7</w:t>
      </w:r>
      <w:r w:rsidRPr="001469AF"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ufc</w:t>
      </w:r>
      <w:proofErr w:type="spellEnd"/>
      <w:r>
        <w:rPr>
          <w:rFonts w:eastAsia="Malgun Gothic"/>
          <w:lang w:eastAsia="ko-KR"/>
        </w:rPr>
        <w:t>/ml</w:t>
      </w:r>
      <w:r w:rsidRPr="001469AF">
        <w:rPr>
          <w:rFonts w:eastAsia="Malgun Gothic"/>
          <w:lang w:eastAsia="ko-KR"/>
        </w:rPr>
        <w:t xml:space="preserve"> concentración inicial, fermentación a 30 °C por 7 h, control de pH a 5,6 con </w:t>
      </w:r>
      <w:proofErr w:type="spellStart"/>
      <w:r w:rsidRPr="001469AF">
        <w:rPr>
          <w:rFonts w:eastAsia="Malgun Gothic"/>
          <w:lang w:eastAsia="ko-KR"/>
        </w:rPr>
        <w:t>NaOH</w:t>
      </w:r>
      <w:proofErr w:type="spellEnd"/>
      <w:r w:rsidRPr="001469AF">
        <w:rPr>
          <w:rFonts w:eastAsia="Malgun Gothic"/>
          <w:lang w:eastAsia="ko-KR"/>
        </w:rPr>
        <w:t xml:space="preserve"> 8</w:t>
      </w:r>
      <w:r>
        <w:rPr>
          <w:rFonts w:eastAsia="Malgun Gothic"/>
          <w:lang w:eastAsia="ko-KR"/>
        </w:rPr>
        <w:t> </w:t>
      </w:r>
      <w:r w:rsidRPr="001469AF">
        <w:rPr>
          <w:rFonts w:eastAsia="Malgun Gothic"/>
          <w:lang w:eastAsia="ko-KR"/>
        </w:rPr>
        <w:t>M) a las adoptadas para el reactor de laboratorio</w:t>
      </w:r>
      <w:r>
        <w:rPr>
          <w:rFonts w:eastAsia="Malgun Gothic"/>
          <w:lang w:eastAsia="ko-KR"/>
        </w:rPr>
        <w:t>,</w:t>
      </w:r>
      <w:r w:rsidRPr="001469AF">
        <w:rPr>
          <w:rFonts w:eastAsia="Malgun Gothic"/>
          <w:lang w:eastAsia="ko-KR"/>
        </w:rPr>
        <w:t xml:space="preserve"> </w:t>
      </w:r>
      <w:r w:rsidRPr="00F36C62">
        <w:rPr>
          <w:rFonts w:eastAsia="Malgun Gothic"/>
          <w:lang w:eastAsia="ko-KR"/>
        </w:rPr>
        <w:t>a excepción de la agitación, para la cual -por el cambio de escala- se redujo la velocidad. El crecimiento de W20 fue similar al obtenido en laboratorio, con aumento de 1 y 2 órdenes log a las 2 y 4 h, respectivamente, alcanzando un</w:t>
      </w:r>
      <w:r w:rsidRPr="001469AF">
        <w:rPr>
          <w:rFonts w:eastAsia="Malgun Gothic"/>
          <w:lang w:eastAsia="ko-KR"/>
        </w:rPr>
        <w:t xml:space="preserve">a </w:t>
      </w:r>
      <w:r w:rsidRPr="001469AF">
        <w:rPr>
          <w:rFonts w:eastAsia="Malgun Gothic"/>
          <w:lang w:eastAsia="ko-KR"/>
        </w:rPr>
        <w:lastRenderedPageBreak/>
        <w:t>concentración de 10</w:t>
      </w:r>
      <w:r w:rsidRPr="001469AF">
        <w:rPr>
          <w:rFonts w:eastAsia="Malgun Gothic"/>
          <w:vertAlign w:val="superscript"/>
          <w:lang w:eastAsia="ko-KR"/>
        </w:rPr>
        <w:t>9</w:t>
      </w:r>
      <w:r w:rsidRPr="001469AF">
        <w:rPr>
          <w:rFonts w:eastAsia="Malgun Gothic"/>
          <w:lang w:eastAsia="ko-KR"/>
        </w:rPr>
        <w:t xml:space="preserve"> </w:t>
      </w:r>
      <w:proofErr w:type="spellStart"/>
      <w:r w:rsidRPr="001469AF">
        <w:rPr>
          <w:rFonts w:eastAsia="Malgun Gothic"/>
          <w:lang w:eastAsia="ko-KR"/>
        </w:rPr>
        <w:t>ufc</w:t>
      </w:r>
      <w:proofErr w:type="spellEnd"/>
      <w:r w:rsidRPr="001469AF">
        <w:rPr>
          <w:rFonts w:eastAsia="Malgun Gothic"/>
          <w:lang w:eastAsia="ko-KR"/>
        </w:rPr>
        <w:t xml:space="preserve">/ml al final de la fermentación. La biomasa cosechada, lavada y concentrada 10X, se suspendió en tampón fosfato (50 </w:t>
      </w:r>
      <w:proofErr w:type="spellStart"/>
      <w:r w:rsidRPr="001469AF">
        <w:rPr>
          <w:rFonts w:eastAsia="Malgun Gothic"/>
          <w:lang w:eastAsia="ko-KR"/>
        </w:rPr>
        <w:t>mM</w:t>
      </w:r>
      <w:proofErr w:type="spellEnd"/>
      <w:r w:rsidRPr="001469AF">
        <w:rPr>
          <w:rFonts w:eastAsia="Malgun Gothic"/>
          <w:lang w:eastAsia="ko-KR"/>
        </w:rPr>
        <w:t xml:space="preserve">, pH 7) o en sobrenadante de fermentación (con ajuste de pH a 7). Alícuotas de las suspensiones se conservaron a </w:t>
      </w:r>
      <w:r w:rsidRPr="001469AF">
        <w:rPr>
          <w:rFonts w:eastAsia="Malgun Gothic"/>
          <w:lang w:eastAsia="ko-KR"/>
        </w:rPr>
        <w:noBreakHyphen/>
        <w:t xml:space="preserve">20 y </w:t>
      </w:r>
      <w:r w:rsidRPr="001469AF">
        <w:rPr>
          <w:rFonts w:eastAsia="Malgun Gothic"/>
          <w:lang w:eastAsia="ko-KR"/>
        </w:rPr>
        <w:noBreakHyphen/>
        <w:t>80 °C para evaluar la viabilidad celular (VC) en el almacenamiento. En general, la VC se mantuvo en 10</w:t>
      </w:r>
      <w:r>
        <w:rPr>
          <w:rFonts w:eastAsia="Malgun Gothic"/>
          <w:lang w:eastAsia="ko-KR"/>
        </w:rPr>
        <w:t> </w:t>
      </w:r>
      <w:r w:rsidRPr="001469AF">
        <w:rPr>
          <w:rFonts w:eastAsia="Malgun Gothic"/>
          <w:lang w:eastAsia="ko-KR"/>
        </w:rPr>
        <w:t>log por al menos 6 meses y el C</w:t>
      </w:r>
      <w:r>
        <w:rPr>
          <w:rFonts w:eastAsia="Malgun Gothic"/>
          <w:lang w:eastAsia="ko-KR"/>
        </w:rPr>
        <w:t>C</w:t>
      </w:r>
      <w:r w:rsidRPr="001469AF">
        <w:rPr>
          <w:rFonts w:eastAsia="Malgun Gothic"/>
          <w:lang w:eastAsia="ko-KR"/>
        </w:rPr>
        <w:t xml:space="preserve"> fermentó la premezcla alcanzando valores de recuentos y disminuciones de pH similares a los logrados con la premezcla sin TACC por el cultivo de W20 fresco, obteniéndose en ambos casos pan de molde con características </w:t>
      </w:r>
      <w:r w:rsidRPr="00F36C62">
        <w:rPr>
          <w:rFonts w:eastAsia="Malgun Gothic"/>
          <w:lang w:eastAsia="ko-KR"/>
        </w:rPr>
        <w:t xml:space="preserve">francamente </w:t>
      </w:r>
      <w:r w:rsidRPr="001469AF">
        <w:rPr>
          <w:rFonts w:eastAsia="Malgun Gothic"/>
          <w:lang w:eastAsia="ko-KR"/>
        </w:rPr>
        <w:t>mejoradas respecto del preparado solo con levadura de panadería. La cepa W20 demostró notable versatilidad, adaptándose a los diferentes nutrientes ofrecidos, al cambio de escala y a la aplicación como fermento directo para la elaboración de productos panificados sin gluten.</w:t>
      </w:r>
    </w:p>
    <w:p w:rsidR="00E06E21" w:rsidRDefault="00E06E21">
      <w:pPr>
        <w:spacing w:after="0" w:line="240" w:lineRule="auto"/>
        <w:ind w:left="0" w:hanging="2"/>
      </w:pPr>
    </w:p>
    <w:p w:rsidR="00E06E21" w:rsidRPr="00B400A4" w:rsidRDefault="00AF281F">
      <w:pPr>
        <w:spacing w:after="0" w:line="240" w:lineRule="auto"/>
        <w:ind w:left="0" w:hanging="2"/>
      </w:pPr>
      <w:r>
        <w:t xml:space="preserve">Palabras Clave: </w:t>
      </w:r>
      <w:r w:rsidR="00B400A4" w:rsidRPr="00B400A4">
        <w:rPr>
          <w:rFonts w:eastAsia="Malgun Gothic"/>
          <w:lang w:eastAsia="ko-KR"/>
        </w:rPr>
        <w:t>bacilo láctico heterofermentante, premezcla sin TACC, biomasa, escalado, reactor tanque agitado</w:t>
      </w:r>
    </w:p>
    <w:p w:rsidR="00E06E21" w:rsidRPr="00B400A4" w:rsidRDefault="00E06E21">
      <w:pPr>
        <w:spacing w:after="0" w:line="240" w:lineRule="auto"/>
        <w:ind w:left="0" w:hanging="2"/>
      </w:pPr>
    </w:p>
    <w:p w:rsidR="00E06E21" w:rsidRDefault="00E06E21">
      <w:pPr>
        <w:spacing w:after="0" w:line="240" w:lineRule="auto"/>
        <w:ind w:left="0" w:hanging="2"/>
      </w:pPr>
    </w:p>
    <w:p w:rsidR="00E06E21" w:rsidRDefault="00E06E21">
      <w:pPr>
        <w:spacing w:after="0" w:line="240" w:lineRule="auto"/>
        <w:ind w:left="0" w:hanging="2"/>
      </w:pPr>
    </w:p>
    <w:sectPr w:rsidR="00E06E21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1D" w:rsidRDefault="00CA041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A041D" w:rsidRDefault="00CA04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1D" w:rsidRDefault="00CA041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A041D" w:rsidRDefault="00CA04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21" w:rsidRDefault="00AF281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21"/>
    <w:rsid w:val="005745B2"/>
    <w:rsid w:val="005B3EBA"/>
    <w:rsid w:val="006D704A"/>
    <w:rsid w:val="00AF281F"/>
    <w:rsid w:val="00B400A4"/>
    <w:rsid w:val="00CA041D"/>
    <w:rsid w:val="00CD558F"/>
    <w:rsid w:val="00E06E21"/>
    <w:rsid w:val="00E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pra@fbcb.unl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ASSA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Luján</cp:lastModifiedBy>
  <cp:revision>5</cp:revision>
  <dcterms:created xsi:type="dcterms:W3CDTF">2022-06-23T18:52:00Z</dcterms:created>
  <dcterms:modified xsi:type="dcterms:W3CDTF">2022-07-01T13:58:00Z</dcterms:modified>
</cp:coreProperties>
</file>