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AEA3" w14:textId="77777777" w:rsidR="002C5AEF" w:rsidRDefault="002C5AEF" w:rsidP="002C5AEF">
      <w:pPr>
        <w:spacing w:line="240" w:lineRule="auto"/>
        <w:ind w:left="0" w:hanging="2"/>
        <w:jc w:val="center"/>
        <w:rPr>
          <w:b/>
          <w:bCs/>
        </w:rPr>
      </w:pPr>
      <w:r w:rsidRPr="007F35AC">
        <w:rPr>
          <w:b/>
          <w:bCs/>
        </w:rPr>
        <w:t xml:space="preserve">Elaboración de masas madre con cepas autóctonas obtenidas a partir de harinas libre gluten. Efectos </w:t>
      </w:r>
      <w:r>
        <w:rPr>
          <w:b/>
          <w:bCs/>
        </w:rPr>
        <w:t>del</w:t>
      </w:r>
      <w:r w:rsidRPr="007F35AC">
        <w:rPr>
          <w:b/>
          <w:bCs/>
        </w:rPr>
        <w:t xml:space="preserve"> proceso de fermentación</w:t>
      </w:r>
    </w:p>
    <w:p w14:paraId="5981831F" w14:textId="77777777" w:rsidR="002C5AEF" w:rsidRDefault="002C5AEF" w:rsidP="002C5AEF">
      <w:pPr>
        <w:spacing w:line="240" w:lineRule="auto"/>
        <w:ind w:left="0" w:hanging="2"/>
      </w:pPr>
      <w:r w:rsidRPr="007F35AC">
        <w:t>Lanc</w:t>
      </w:r>
      <w:r>
        <w:t>e</w:t>
      </w:r>
      <w:r w:rsidRPr="007F35AC">
        <w:t>tti</w:t>
      </w:r>
      <w:r>
        <w:t xml:space="preserve"> R (</w:t>
      </w:r>
      <w:r w:rsidRPr="00D7078A">
        <w:t>1</w:t>
      </w:r>
      <w:r>
        <w:t>)</w:t>
      </w:r>
      <w:r w:rsidRPr="007F35AC">
        <w:t>, Salvucci</w:t>
      </w:r>
      <w:r>
        <w:t xml:space="preserve"> E (</w:t>
      </w:r>
      <w:r w:rsidRPr="00D7078A">
        <w:t>1</w:t>
      </w:r>
      <w:r>
        <w:t>)</w:t>
      </w:r>
      <w:r w:rsidRPr="007F35AC">
        <w:t>, Moiraghi</w:t>
      </w:r>
      <w:r>
        <w:t xml:space="preserve"> M (</w:t>
      </w:r>
      <w:r w:rsidRPr="00D7078A">
        <w:t>1</w:t>
      </w:r>
      <w:r>
        <w:t>,2)</w:t>
      </w:r>
      <w:r w:rsidRPr="007F35AC">
        <w:t>, Pérez</w:t>
      </w:r>
      <w:r>
        <w:t xml:space="preserve"> GT (</w:t>
      </w:r>
      <w:r w:rsidRPr="00D7078A">
        <w:t>1</w:t>
      </w:r>
      <w:r>
        <w:t>,2)</w:t>
      </w:r>
      <w:r w:rsidRPr="007F35AC">
        <w:t xml:space="preserve">, Sciarini </w:t>
      </w:r>
      <w:r>
        <w:t>LS (</w:t>
      </w:r>
      <w:r w:rsidRPr="00D7078A">
        <w:t>1</w:t>
      </w:r>
      <w:r>
        <w:t>,2).</w:t>
      </w:r>
    </w:p>
    <w:p w14:paraId="58902948" w14:textId="77777777" w:rsidR="002C5AEF" w:rsidRDefault="002C5AEF" w:rsidP="002C5AEF">
      <w:pPr>
        <w:spacing w:line="240" w:lineRule="auto"/>
        <w:ind w:left="0" w:hanging="2"/>
      </w:pPr>
      <w:r>
        <w:t>(</w:t>
      </w:r>
      <w:r w:rsidRPr="00D7078A">
        <w:t>1</w:t>
      </w:r>
      <w:r>
        <w:t xml:space="preserve">) </w:t>
      </w:r>
      <w:r w:rsidRPr="00D7078A">
        <w:t>Instituto de Ciencia y Tecnología de Alimentos Córdoba (ICYTAC), Universidad Nacional de Córdoba, CONICET.</w:t>
      </w:r>
    </w:p>
    <w:p w14:paraId="2D8C9403" w14:textId="77777777" w:rsidR="002C5AEF" w:rsidRDefault="002C5AEF" w:rsidP="002C5AEF">
      <w:pPr>
        <w:spacing w:line="240" w:lineRule="auto"/>
        <w:ind w:left="0" w:hanging="2"/>
      </w:pPr>
      <w:r>
        <w:t xml:space="preserve">(2) </w:t>
      </w:r>
      <w:r w:rsidRPr="00754A51">
        <w:t xml:space="preserve">Facultad de Ciencias Agropecuarias </w:t>
      </w:r>
      <w:r>
        <w:t>-</w:t>
      </w:r>
      <w:r w:rsidRPr="00754A51">
        <w:t xml:space="preserve"> Universidad Nacional de Córdoba, Córdoba, Argentina.</w:t>
      </w:r>
    </w:p>
    <w:p w14:paraId="0516FD4D" w14:textId="77777777" w:rsidR="002C5AEF" w:rsidRDefault="009A7918" w:rsidP="002C5AEF">
      <w:pPr>
        <w:spacing w:line="240" w:lineRule="auto"/>
        <w:ind w:left="0" w:hanging="2"/>
      </w:pPr>
      <w:hyperlink r:id="rId7" w:history="1">
        <w:r w:rsidR="002C5AEF" w:rsidRPr="000C29BA">
          <w:rPr>
            <w:rStyle w:val="Hipervnculo"/>
          </w:rPr>
          <w:t>rominaplancetti@agro.unc.edu.ar</w:t>
        </w:r>
      </w:hyperlink>
      <w:r w:rsidR="002C5AEF">
        <w:t xml:space="preserve"> </w:t>
      </w:r>
    </w:p>
    <w:p w14:paraId="5E002E04" w14:textId="6898FFEA" w:rsidR="002C5AEF" w:rsidRDefault="002C5AEF" w:rsidP="002C5AEF">
      <w:pPr>
        <w:spacing w:line="240" w:lineRule="auto"/>
        <w:ind w:left="0" w:hanging="2"/>
      </w:pPr>
      <w:r w:rsidRPr="0010699A">
        <w:t>RESUMEN</w:t>
      </w:r>
    </w:p>
    <w:p w14:paraId="509EACF1" w14:textId="7B358DFD" w:rsidR="00251F43" w:rsidRPr="007F35AC" w:rsidRDefault="00251F43" w:rsidP="00251F43">
      <w:pPr>
        <w:spacing w:line="240" w:lineRule="auto"/>
        <w:ind w:left="0" w:hanging="2"/>
      </w:pPr>
      <w:r w:rsidRPr="002D4785">
        <w:t xml:space="preserve">Las masas madre para la elaboración de productos de panificación se producen tradicionalmente mediante refrescos diarios de una mezcla de harina y agua, con el fin de mantener activos los microorganismos que habitan en la misma. Aunque para la panificación industrial se prefiere el uso de cultivos iniciadores ya que conduce a una calidad más estandarizada de los productos horneados, el aislamiento y caracterización de microorganismos autóctonos es una alternativa interesante para obtener inóculos robustos y funcionales para el proceso de panificación. </w:t>
      </w:r>
      <w:r w:rsidRPr="007F35AC">
        <w:t xml:space="preserve">El objetivo de este trabajo fue </w:t>
      </w:r>
      <w:r>
        <w:t xml:space="preserve">comparar dos procesos de fermentación diferentes para elaborar masas madre con harinas libres de gluten empleando </w:t>
      </w:r>
      <w:r w:rsidRPr="007F35AC">
        <w:t xml:space="preserve">cepas </w:t>
      </w:r>
      <w:r>
        <w:t xml:space="preserve">de bacterias ácido lácticas (LAB) </w:t>
      </w:r>
      <w:r w:rsidRPr="007F35AC">
        <w:t xml:space="preserve">autóctonas </w:t>
      </w:r>
      <w:r>
        <w:t xml:space="preserve">como inóculo. </w:t>
      </w:r>
      <w:r w:rsidRPr="007F35AC">
        <w:t xml:space="preserve">Se utilizaron dos cepas de </w:t>
      </w:r>
      <w:r w:rsidRPr="007F35AC">
        <w:rPr>
          <w:i/>
          <w:iCs/>
        </w:rPr>
        <w:t>Limosilactobacillus fermentum</w:t>
      </w:r>
      <w:r w:rsidRPr="007F35AC">
        <w:t xml:space="preserve"> aisladas de masas madre espontáneas de harina de trigo sarraceno (T5) y quinoa (Q3) y </w:t>
      </w:r>
      <w:r w:rsidRPr="007F35AC">
        <w:rPr>
          <w:i/>
          <w:iCs/>
        </w:rPr>
        <w:t>Lactiplantibacillus plantarum</w:t>
      </w:r>
      <w:r w:rsidRPr="007F35AC">
        <w:t xml:space="preserve"> ATCC8014 como cepa de referencia. Las masas madre (SD) se elaboraron con harina de arroz refinada (A), quin</w:t>
      </w:r>
      <w:r>
        <w:t>o</w:t>
      </w:r>
      <w:r w:rsidRPr="007F35AC">
        <w:t>a integral (Q) y trigo sarraceno (TS) con un rendimiento de masa de 200. La</w:t>
      </w:r>
      <w:r>
        <w:t>s</w:t>
      </w:r>
      <w:r w:rsidRPr="007F35AC">
        <w:t xml:space="preserve"> masa</w:t>
      </w:r>
      <w:r>
        <w:t>s</w:t>
      </w:r>
      <w:r w:rsidRPr="007F35AC">
        <w:t xml:space="preserve"> se inocul</w:t>
      </w:r>
      <w:r>
        <w:t>aron</w:t>
      </w:r>
      <w:r w:rsidRPr="007F35AC">
        <w:t xml:space="preserve"> con 1×10</w:t>
      </w:r>
      <w:r w:rsidRPr="007F35AC">
        <w:rPr>
          <w:vertAlign w:val="superscript"/>
        </w:rPr>
        <w:t>8</w:t>
      </w:r>
      <w:r w:rsidRPr="007F35AC">
        <w:t xml:space="preserve"> UFC/g de LAB y se llevaron a cabo dos tipos de fermentaci</w:t>
      </w:r>
      <w:r>
        <w:t>o</w:t>
      </w:r>
      <w:r w:rsidRPr="007F35AC">
        <w:t>n</w:t>
      </w:r>
      <w:r>
        <w:t>es</w:t>
      </w:r>
      <w:r w:rsidRPr="007F35AC">
        <w:t xml:space="preserve"> a 30° C</w:t>
      </w:r>
      <w:r>
        <w:t>:</w:t>
      </w:r>
      <w:r w:rsidRPr="007F35AC">
        <w:t xml:space="preserve"> SD1 (24h) y SD2 (10 días de repique continuo). Se realizaron mediciones de pH, acidez total titulable</w:t>
      </w:r>
      <w:r>
        <w:t xml:space="preserve"> (ATT)</w:t>
      </w:r>
      <w:r w:rsidRPr="007F35AC">
        <w:t xml:space="preserve">, recuento, contenido y solubilización de pentosanos, cantidad de polifenoles y capacidad antioxidante </w:t>
      </w:r>
      <w:r w:rsidRPr="001C3633">
        <w:rPr>
          <w:i/>
          <w:iCs/>
        </w:rPr>
        <w:t>in vitro</w:t>
      </w:r>
      <w:r w:rsidRPr="007F35AC">
        <w:t xml:space="preserve"> e identificación de </w:t>
      </w:r>
      <w:r>
        <w:t>LAB</w:t>
      </w:r>
      <w:r w:rsidRPr="007F35AC">
        <w:t xml:space="preserve"> por MALDI-TOF MS. </w:t>
      </w:r>
      <w:r>
        <w:t>En el proceso</w:t>
      </w:r>
      <w:r w:rsidRPr="007F35AC">
        <w:t xml:space="preserve"> SD1, Q3 y T5 mostraron una mayor capacidad de acidificación en comparación con las masas </w:t>
      </w:r>
      <w:r>
        <w:t>control sin inocular (</w:t>
      </w:r>
      <w:r w:rsidRPr="007F35AC">
        <w:t>C</w:t>
      </w:r>
      <w:r>
        <w:t>)</w:t>
      </w:r>
      <w:r w:rsidRPr="007F35AC">
        <w:t xml:space="preserve">. Con respecto a la influencia de la harina, el pH fue menor en la masa madre de A con todas las cepas. Para SD2, TS fermentada con Q3 y T5 presentó una menor acidificación que C y ATCC8014. Se encontró una correlación positiva entre </w:t>
      </w:r>
      <w:r>
        <w:t>la</w:t>
      </w:r>
      <w:r w:rsidRPr="007F35AC">
        <w:t xml:space="preserve"> </w:t>
      </w:r>
      <w:r>
        <w:t>A</w:t>
      </w:r>
      <w:r w:rsidRPr="007F35AC">
        <w:t xml:space="preserve">TT al final de la fermentación y el recuento bacteriano (r = 0,89, p &lt; 0,05). </w:t>
      </w:r>
      <w:r>
        <w:t xml:space="preserve">La identificación de las colonias más representativas arrojó una clara predominancia de </w:t>
      </w:r>
      <w:r w:rsidRPr="001C3633">
        <w:rPr>
          <w:i/>
          <w:iCs/>
        </w:rPr>
        <w:t>Lim. fermentum</w:t>
      </w:r>
      <w:r>
        <w:t xml:space="preserve"> al final de ambos procesos (SD1 y SD2), para todas las muestras. </w:t>
      </w:r>
      <w:r w:rsidRPr="007F35AC">
        <w:t>El contenido de pentosanos solubles, por otro lado, fue mayor para SD1 tanto en muestras de Q como A (p &lt; 0</w:t>
      </w:r>
      <w:r>
        <w:t>,</w:t>
      </w:r>
      <w:r w:rsidRPr="007F35AC">
        <w:t xml:space="preserve">05). Para el proceso </w:t>
      </w:r>
      <w:r>
        <w:t>con repique</w:t>
      </w:r>
      <w:r w:rsidRPr="007F35AC">
        <w:t xml:space="preserve"> (SD2), el incremento en los polifenoles totales fue menor en las masas de A y Q. En todos los casos, la actividad reductora fue mayor que la actividad antir</w:t>
      </w:r>
      <w:r>
        <w:t>r</w:t>
      </w:r>
      <w:r w:rsidRPr="007F35AC">
        <w:t>adicalaria</w:t>
      </w:r>
      <w:r>
        <w:t xml:space="preserve">. Se realizó un análisis de componentes principales para evaluar si es el proceso de fermentación o es la cepa que se emplea como inóculo el factor más influyente sobre las características de la masa madre. Para todas las harinas (A, Q y TS) las muestras se agrupan de acuerdo a la cepa empleada como inóculo, independientemente del proceso de fermentación que se emplea. Estos resultados indican que </w:t>
      </w:r>
      <w:r w:rsidRPr="007F35AC">
        <w:t xml:space="preserve">el proceso de fermentación SD1 </w:t>
      </w:r>
      <w:r>
        <w:t xml:space="preserve">es adecuado para </w:t>
      </w:r>
      <w:r>
        <w:lastRenderedPageBreak/>
        <w:t xml:space="preserve">modificar las propiedades de las harinas, al mismo tiempo que es un proceso mucho más simple y rápido, por lo que se lo propone como método para la elaboración de masas madre para ser empleada en productos de panificación libres de gluten.  </w:t>
      </w:r>
    </w:p>
    <w:p w14:paraId="30EA6B20" w14:textId="4D615FF6" w:rsidR="002C5AEF" w:rsidRPr="007F35AC" w:rsidRDefault="002C5AEF" w:rsidP="002C5AEF">
      <w:pPr>
        <w:spacing w:line="240" w:lineRule="auto"/>
        <w:ind w:left="0" w:hanging="2"/>
      </w:pPr>
      <w:r>
        <w:t>Palabras claves: arroz, quinoa, trigo sarraceno, cultivo iniciador, fermentación.</w:t>
      </w:r>
    </w:p>
    <w:p w14:paraId="513FDF0D" w14:textId="77777777" w:rsidR="00E1230F" w:rsidRDefault="00E1230F" w:rsidP="002C5AEF">
      <w:pPr>
        <w:spacing w:after="0" w:line="240" w:lineRule="auto"/>
        <w:ind w:leftChars="0" w:left="0" w:firstLineChars="0" w:firstLine="0"/>
      </w:pPr>
    </w:p>
    <w:sectPr w:rsidR="00E1230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A7AE" w14:textId="77777777" w:rsidR="009A7918" w:rsidRDefault="009A791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8467189" w14:textId="77777777" w:rsidR="009A7918" w:rsidRDefault="009A791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B133" w14:textId="77777777" w:rsidR="009A7918" w:rsidRDefault="009A791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7B1A4C1" w14:textId="77777777" w:rsidR="009A7918" w:rsidRDefault="009A791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043D" w14:textId="77777777" w:rsidR="00E1230F" w:rsidRDefault="004C271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61D6889" wp14:editId="4140324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0F"/>
    <w:rsid w:val="00155D2E"/>
    <w:rsid w:val="00251F43"/>
    <w:rsid w:val="002C5AEF"/>
    <w:rsid w:val="004C271A"/>
    <w:rsid w:val="005355E8"/>
    <w:rsid w:val="00622E1C"/>
    <w:rsid w:val="009A7918"/>
    <w:rsid w:val="00BE7D93"/>
    <w:rsid w:val="00CF023A"/>
    <w:rsid w:val="00E1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5FAC"/>
  <w15:docId w15:val="{2F8F5F19-AB90-44CF-83A9-235646B0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inaplancetti@agro.un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romina lancetti</cp:lastModifiedBy>
  <cp:revision>3</cp:revision>
  <dcterms:created xsi:type="dcterms:W3CDTF">2022-07-04T20:34:00Z</dcterms:created>
  <dcterms:modified xsi:type="dcterms:W3CDTF">2022-07-04T20:37:00Z</dcterms:modified>
</cp:coreProperties>
</file>