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90C" w:rsidRPr="009A1AEF" w:rsidRDefault="009A1AEF">
      <w:pPr>
        <w:pBdr>
          <w:top w:val="nil"/>
          <w:left w:val="nil"/>
          <w:bottom w:val="nil"/>
          <w:right w:val="nil"/>
          <w:between w:val="nil"/>
        </w:pBdr>
        <w:spacing w:after="0" w:line="240" w:lineRule="auto"/>
        <w:ind w:left="0" w:hanging="2"/>
        <w:jc w:val="center"/>
        <w:rPr>
          <w:b/>
          <w:color w:val="000000"/>
        </w:rPr>
      </w:pPr>
      <w:r>
        <w:rPr>
          <w:b/>
          <w:color w:val="000000"/>
        </w:rPr>
        <w:t xml:space="preserve">Composición del exudado de </w:t>
      </w:r>
      <w:r>
        <w:rPr>
          <w:b/>
          <w:i/>
          <w:iCs/>
          <w:color w:val="000000"/>
        </w:rPr>
        <w:t xml:space="preserve">Prosopis nigra </w:t>
      </w:r>
      <w:r>
        <w:rPr>
          <w:b/>
          <w:color w:val="000000"/>
        </w:rPr>
        <w:t xml:space="preserve">y su incorporación </w:t>
      </w:r>
      <w:r w:rsidR="000B5D7E">
        <w:rPr>
          <w:b/>
          <w:color w:val="000000"/>
        </w:rPr>
        <w:t xml:space="preserve">en capsulas </w:t>
      </w:r>
      <w:r w:rsidR="000B5D7E" w:rsidRPr="00507587">
        <w:rPr>
          <w:b/>
          <w:i/>
          <w:iCs/>
          <w:color w:val="000000"/>
        </w:rPr>
        <w:t>core-shell</w:t>
      </w:r>
      <w:r w:rsidR="000B5D7E">
        <w:rPr>
          <w:b/>
          <w:color w:val="000000"/>
        </w:rPr>
        <w:t xml:space="preserve"> de </w:t>
      </w:r>
      <w:r>
        <w:rPr>
          <w:b/>
          <w:color w:val="000000"/>
        </w:rPr>
        <w:t xml:space="preserve">aceite de pescado </w:t>
      </w:r>
    </w:p>
    <w:p w:rsidR="0046590C" w:rsidRDefault="0046590C">
      <w:pPr>
        <w:spacing w:after="0" w:line="240" w:lineRule="auto"/>
        <w:ind w:left="0" w:hanging="2"/>
        <w:jc w:val="center"/>
      </w:pPr>
    </w:p>
    <w:p w:rsidR="0046590C" w:rsidRDefault="009A1AEF">
      <w:pPr>
        <w:spacing w:after="0" w:line="240" w:lineRule="auto"/>
        <w:ind w:left="0" w:hanging="2"/>
        <w:jc w:val="center"/>
      </w:pPr>
      <w:r>
        <w:t>Morales</w:t>
      </w:r>
      <w:r w:rsidR="009F778C">
        <w:t xml:space="preserve"> </w:t>
      </w:r>
      <w:r>
        <w:t>AH</w:t>
      </w:r>
      <w:r w:rsidR="009F778C">
        <w:t xml:space="preserve"> (1), </w:t>
      </w:r>
      <w:r w:rsidR="00F9643A">
        <w:t>Alanís</w:t>
      </w:r>
      <w:r>
        <w:t xml:space="preserve"> AF (2), </w:t>
      </w:r>
      <w:r w:rsidR="00D16A64">
        <w:t xml:space="preserve">Hero JS (1), </w:t>
      </w:r>
      <w:r>
        <w:t>Olivaro C</w:t>
      </w:r>
      <w:r w:rsidR="00F9643A">
        <w:t xml:space="preserve"> </w:t>
      </w:r>
      <w:r>
        <w:t>(</w:t>
      </w:r>
      <w:r w:rsidR="00F9643A">
        <w:t>3</w:t>
      </w:r>
      <w:r>
        <w:t>), Martínez MA (1</w:t>
      </w:r>
      <w:r w:rsidR="0023704B">
        <w:t>,4</w:t>
      </w:r>
      <w:r>
        <w:t>), Romero CM (1</w:t>
      </w:r>
      <w:r w:rsidR="0023704B">
        <w:t>,2</w:t>
      </w:r>
      <w:r>
        <w:t>)</w:t>
      </w:r>
    </w:p>
    <w:p w:rsidR="0046590C" w:rsidRDefault="0046590C">
      <w:pPr>
        <w:spacing w:after="0" w:line="240" w:lineRule="auto"/>
        <w:ind w:left="0" w:hanging="2"/>
        <w:jc w:val="center"/>
      </w:pPr>
    </w:p>
    <w:p w:rsidR="0046590C" w:rsidRDefault="009F778C" w:rsidP="00B664BE">
      <w:pPr>
        <w:spacing w:after="120" w:line="240" w:lineRule="auto"/>
        <w:ind w:left="0" w:hanging="2"/>
      </w:pPr>
      <w:r>
        <w:t xml:space="preserve">(1) </w:t>
      </w:r>
      <w:r w:rsidR="00F9643A">
        <w:t>Planta Piloto de Procesos Industriales Microbiológicos (PROIMI-CONICET)</w:t>
      </w:r>
      <w:r>
        <w:t xml:space="preserve">, </w:t>
      </w:r>
      <w:r w:rsidR="00F9643A">
        <w:t>Av. Belgrano y Pje. Caseros,</w:t>
      </w:r>
      <w:r>
        <w:t xml:space="preserve"> </w:t>
      </w:r>
      <w:r w:rsidR="00F9643A">
        <w:t>San Miguel de Tucumán</w:t>
      </w:r>
      <w:r>
        <w:t xml:space="preserve">, </w:t>
      </w:r>
      <w:r w:rsidR="00F9643A">
        <w:t>Tucumán</w:t>
      </w:r>
      <w:r>
        <w:t xml:space="preserve">, </w:t>
      </w:r>
      <w:r w:rsidR="00F9643A">
        <w:t>Argentina</w:t>
      </w:r>
      <w:r>
        <w:t>.</w:t>
      </w:r>
    </w:p>
    <w:p w:rsidR="0023704B" w:rsidRDefault="009F778C" w:rsidP="00B664BE">
      <w:pPr>
        <w:spacing w:after="120" w:line="240" w:lineRule="auto"/>
        <w:ind w:left="0" w:hanging="2"/>
      </w:pPr>
      <w:r>
        <w:t xml:space="preserve">(2) </w:t>
      </w:r>
      <w:r w:rsidR="0023704B">
        <w:t>Facultad de Bioquímica, Química y Farmacia (UNT), Ayacucho 461, San Miguel de Tucumán, Tucumán, Argentina.</w:t>
      </w:r>
    </w:p>
    <w:p w:rsidR="00F9643A" w:rsidRDefault="00F9643A" w:rsidP="00B664BE">
      <w:pPr>
        <w:spacing w:line="240" w:lineRule="auto"/>
        <w:ind w:left="0" w:hanging="2"/>
      </w:pPr>
      <w:r>
        <w:t>(3) Espacio de Ciencia y Tecnología Química, Centro Universitario de Tacuarembó,</w:t>
      </w:r>
      <w:r w:rsidR="00B664BE">
        <w:t xml:space="preserve"> CENUR Noreste,</w:t>
      </w:r>
      <w:r>
        <w:t xml:space="preserve"> Universidad de la República, </w:t>
      </w:r>
      <w:r w:rsidR="00B664BE">
        <w:t>Tacuarembó</w:t>
      </w:r>
      <w:r>
        <w:t>, Uruguay</w:t>
      </w:r>
    </w:p>
    <w:p w:rsidR="0023704B" w:rsidRDefault="0023704B" w:rsidP="00B664BE">
      <w:pPr>
        <w:spacing w:line="240" w:lineRule="auto"/>
        <w:ind w:left="0" w:hanging="2"/>
      </w:pPr>
      <w:r>
        <w:t>(4) Facultad de Ciencias Exactas y Tecnológicas (UNT), Av. Independencia 1800, San Miguel de Tucumán, Tucumán, Argentina.</w:t>
      </w:r>
    </w:p>
    <w:p w:rsidR="0046590C" w:rsidRDefault="009F778C">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1B3781">
        <w:rPr>
          <w:color w:val="000000"/>
        </w:rPr>
        <w:t xml:space="preserve"> </w:t>
      </w:r>
      <w:hyperlink r:id="rId8" w:history="1">
        <w:r w:rsidR="001B3781" w:rsidRPr="00F959B8">
          <w:rPr>
            <w:rStyle w:val="Hipervnculo"/>
          </w:rPr>
          <w:t>andymorales_2006@hotmail.com</w:t>
        </w:r>
      </w:hyperlink>
      <w:r w:rsidR="001B3781">
        <w:rPr>
          <w:color w:val="000000"/>
        </w:rPr>
        <w:t xml:space="preserve"> </w:t>
      </w:r>
      <w:r>
        <w:rPr>
          <w:color w:val="000000"/>
        </w:rPr>
        <w:tab/>
      </w:r>
    </w:p>
    <w:p w:rsidR="0046590C" w:rsidRDefault="0046590C">
      <w:pPr>
        <w:spacing w:after="0" w:line="240" w:lineRule="auto"/>
        <w:ind w:left="0" w:hanging="2"/>
      </w:pPr>
    </w:p>
    <w:p w:rsidR="0046590C" w:rsidRPr="00F349D9" w:rsidRDefault="00E766B7" w:rsidP="00366B71">
      <w:pPr>
        <w:spacing w:after="0" w:line="240" w:lineRule="auto"/>
        <w:ind w:left="0" w:hanging="2"/>
      </w:pPr>
      <w:r>
        <w:t>En los últimos años ha habido un creciente interés en la búsqueda de nuevas fuentes de biopolímeros para ser utilizados en la industria alimentaria. Entre ellos, los exudados gomosos de origen vegetal exhiben interesantes propiedades que los hacen aptos para su inclusión en alimentos, en especial aquellos donde se requieren sistemas de emulsión aceite en agua (O/W)</w:t>
      </w:r>
      <w:r w:rsidR="00C91C4C">
        <w:t xml:space="preserve"> (helados, salsas, aderezos, etc)</w:t>
      </w:r>
      <w:r>
        <w:t>.</w:t>
      </w:r>
      <w:r w:rsidR="00C91C4C">
        <w:t xml:space="preserve"> Muchas de las gomas naturales son seguras para el consumo oral y se prefieren frente a sus análogas sintéticas debido la ausencia de toxicidad, bajo costo y disponibilidad. </w:t>
      </w:r>
      <w:r w:rsidR="00EE7D3B">
        <w:t>De esta manera, e</w:t>
      </w:r>
      <w:r w:rsidR="00C91C4C">
        <w:t xml:space="preserve">l objetivo del presente trabajo </w:t>
      </w:r>
      <w:r w:rsidR="00EE7D3B">
        <w:t>radicó</w:t>
      </w:r>
      <w:r w:rsidR="00C91C4C">
        <w:t xml:space="preserve"> en la caracterización del biopolímero obtenido a partir del exudado gomoso de </w:t>
      </w:r>
      <w:r w:rsidR="00C91C4C">
        <w:rPr>
          <w:i/>
          <w:iCs/>
        </w:rPr>
        <w:t>Prosopis nigra</w:t>
      </w:r>
      <w:r w:rsidR="00C91C4C">
        <w:t xml:space="preserve"> </w:t>
      </w:r>
      <w:r w:rsidR="00EE7D3B">
        <w:t>y su incorporación a un sistema de emulsión para la encapsulación de aceite de pescado.</w:t>
      </w:r>
      <w:r w:rsidR="00C91C4C">
        <w:t xml:space="preserve"> </w:t>
      </w:r>
      <w:r w:rsidR="00EE7D3B">
        <w:t>E</w:t>
      </w:r>
      <w:r w:rsidR="009677FC">
        <w:t xml:space="preserve">l exudado gomoso </w:t>
      </w:r>
      <w:r w:rsidR="000A766F">
        <w:t>fue colectado manualmente a partir de troncos de árboles en la región de Amaicha del Valle (Tucumán, Argentina)</w:t>
      </w:r>
      <w:r w:rsidR="00D16A64">
        <w:t xml:space="preserve"> en </w:t>
      </w:r>
      <w:r w:rsidR="000A766F">
        <w:t>las temporadas de sequía durante junio de 2018 y abril de 2019. Los ejemplares fueron identificados en base a sus características morfológicas e histológicas.</w:t>
      </w:r>
      <w:r w:rsidR="001270AC">
        <w:t xml:space="preserve"> Para l</w:t>
      </w:r>
      <w:r w:rsidR="000A766F">
        <w:t>a purificación parcial del polímero presente en el exudado</w:t>
      </w:r>
      <w:r w:rsidR="001270AC">
        <w:t xml:space="preserve"> el mismo fue pulverizado, disuelto y filtrado para su posterior precipitación en frío con 3 volúmenes de etanol 96% v/v. El sólido recuperado por centrifugación se suspendió en agua destilada para luego dializarse</w:t>
      </w:r>
      <w:r w:rsidR="00D067FC">
        <w:t>.</w:t>
      </w:r>
      <w:r w:rsidR="001270AC">
        <w:t xml:space="preserve"> </w:t>
      </w:r>
      <w:r w:rsidR="00D067FC">
        <w:t>L</w:t>
      </w:r>
      <w:r w:rsidR="001270AC">
        <w:t xml:space="preserve">a solución resultante fue secada y el sólido </w:t>
      </w:r>
      <w:r w:rsidR="00D067FC">
        <w:t>obtenido</w:t>
      </w:r>
      <w:r w:rsidR="001270AC">
        <w:t xml:space="preserve"> se </w:t>
      </w:r>
      <w:r w:rsidR="007143D2">
        <w:t>correspondió</w:t>
      </w:r>
      <w:r w:rsidR="001270AC">
        <w:t xml:space="preserve"> con el </w:t>
      </w:r>
      <w:r w:rsidR="007143D2">
        <w:t>polímero</w:t>
      </w:r>
      <w:r w:rsidR="001270AC">
        <w:t xml:space="preserve"> parcialmente purificado (PN-biopolímero)</w:t>
      </w:r>
      <w:r w:rsidR="00146927">
        <w:t xml:space="preserve"> el cual fue empleado para la aplicación en sistemas de encapsulación. Por su parte para su caracterización físico-química el mismo fue</w:t>
      </w:r>
      <w:r w:rsidR="001124A7">
        <w:t xml:space="preserve"> posteriormente</w:t>
      </w:r>
      <w:r w:rsidR="00146927">
        <w:t xml:space="preserve"> liofilizado. </w:t>
      </w:r>
      <w:r w:rsidR="001444DA">
        <w:t>En análisis por FT-IR</w:t>
      </w:r>
      <w:r w:rsidR="00D067FC">
        <w:t xml:space="preserve"> del mismo</w:t>
      </w:r>
      <w:r w:rsidR="001444DA">
        <w:t xml:space="preserve"> mostró picos característicos de un polímero </w:t>
      </w:r>
      <w:r w:rsidR="00D067FC">
        <w:t xml:space="preserve">de </w:t>
      </w:r>
      <w:r w:rsidR="001444DA">
        <w:t>azúcar</w:t>
      </w:r>
      <w:r w:rsidR="00D067FC">
        <w:t>es</w:t>
      </w:r>
      <w:r w:rsidR="001444DA">
        <w:t xml:space="preserve"> mientras que</w:t>
      </w:r>
      <w:r w:rsidR="007143D2">
        <w:t xml:space="preserve"> </w:t>
      </w:r>
      <w:r w:rsidR="00AA532E">
        <w:t>el estudio mediante diferentes técnicas</w:t>
      </w:r>
      <w:r w:rsidR="007143D2">
        <w:t xml:space="preserve"> cromatográfica</w:t>
      </w:r>
      <w:r w:rsidR="00AA532E">
        <w:t>s</w:t>
      </w:r>
      <w:r w:rsidR="007143D2">
        <w:t xml:space="preserve"> (TLC, HPLC y GC-</w:t>
      </w:r>
      <w:r w:rsidR="00D067FC">
        <w:t>MS</w:t>
      </w:r>
      <w:r w:rsidR="007143D2">
        <w:t>) y por RMN mostraron que se trata de un polímero de arabinosa ramificado</w:t>
      </w:r>
      <w:r w:rsidR="00D16A64">
        <w:t xml:space="preserve"> siendo galactosa el</w:t>
      </w:r>
      <w:r w:rsidR="00146927">
        <w:t xml:space="preserve"> segundo constituyente más abundante.</w:t>
      </w:r>
      <w:r w:rsidR="001444DA">
        <w:t xml:space="preserve"> </w:t>
      </w:r>
      <w:r w:rsidR="00D16A64">
        <w:t>Posteriormente, e</w:t>
      </w:r>
      <w:r w:rsidR="00F349D9">
        <w:t xml:space="preserve">l PN-biopolímero fue incorporado en un sistema de </w:t>
      </w:r>
      <w:commentRangeStart w:id="0"/>
      <w:r w:rsidR="00F349D9">
        <w:t xml:space="preserve">encapsulación de aceite empleando </w:t>
      </w:r>
      <w:commentRangeEnd w:id="0"/>
      <w:r w:rsidR="00347F45">
        <w:rPr>
          <w:rStyle w:val="Refdecomentario"/>
        </w:rPr>
        <w:commentReference w:id="0"/>
      </w:r>
      <w:r w:rsidR="00F349D9">
        <w:t xml:space="preserve">una metodología por </w:t>
      </w:r>
      <w:proofErr w:type="spellStart"/>
      <w:r w:rsidR="00F349D9">
        <w:t>gelación</w:t>
      </w:r>
      <w:proofErr w:type="spellEnd"/>
      <w:r w:rsidR="00F349D9">
        <w:t xml:space="preserve"> inversa mediante la cual se obtuvieron perlas tipo </w:t>
      </w:r>
      <w:r w:rsidR="00F349D9">
        <w:rPr>
          <w:i/>
          <w:iCs/>
        </w:rPr>
        <w:t>core-shell</w:t>
      </w:r>
      <w:r w:rsidR="00F349D9">
        <w:t xml:space="preserve">. </w:t>
      </w:r>
      <w:r w:rsidR="00D373E8">
        <w:t>Se planteó un diseño estadístico del tipo factorial completo para testear e</w:t>
      </w:r>
      <w:r w:rsidR="00F349D9">
        <w:t>l efecto de los diferentes parámetros</w:t>
      </w:r>
      <w:r w:rsidR="009677FC">
        <w:t xml:space="preserve"> en el proceso</w:t>
      </w:r>
      <w:r w:rsidR="00D067FC">
        <w:t xml:space="preserve"> empleando</w:t>
      </w:r>
      <w:r w:rsidR="00D373E8">
        <w:t xml:space="preserve"> para ello</w:t>
      </w:r>
      <w:r w:rsidR="00D067FC">
        <w:t xml:space="preserve"> un</w:t>
      </w:r>
      <w:r w:rsidR="001124A7">
        <w:t xml:space="preserve">a matriz polimérica </w:t>
      </w:r>
      <w:r w:rsidR="00D067FC">
        <w:t>PN-</w:t>
      </w:r>
      <w:r w:rsidR="00D067FC">
        <w:lastRenderedPageBreak/>
        <w:t>biopolímero/alginato de sodio</w:t>
      </w:r>
      <w:r w:rsidR="00F349D9">
        <w:t>.</w:t>
      </w:r>
      <w:r w:rsidR="00D067FC">
        <w:t xml:space="preserve"> Los resultados mostraron que e</w:t>
      </w:r>
      <w:r w:rsidR="00F349D9">
        <w:t xml:space="preserve">l PN-biopolímero </w:t>
      </w:r>
      <w:r w:rsidR="00146927">
        <w:t>ejerció</w:t>
      </w:r>
      <w:r w:rsidR="00F349D9">
        <w:t xml:space="preserve"> un efecto significativo </w:t>
      </w:r>
      <w:r w:rsidR="00366B71">
        <w:t>en la</w:t>
      </w:r>
      <w:r w:rsidR="00F349D9">
        <w:t xml:space="preserve"> encapsulación </w:t>
      </w:r>
      <w:r w:rsidR="00D373E8">
        <w:t xml:space="preserve">del aceite </w:t>
      </w:r>
      <w:r w:rsidR="00F349D9">
        <w:t xml:space="preserve">actuando tanto como un </w:t>
      </w:r>
      <w:r w:rsidR="00366B71">
        <w:t xml:space="preserve">estabilizador de la </w:t>
      </w:r>
      <w:r w:rsidR="006E4AB0">
        <w:t>emulsión,</w:t>
      </w:r>
      <w:r w:rsidR="00F349D9">
        <w:t xml:space="preserve"> </w:t>
      </w:r>
      <w:r w:rsidR="00366B71">
        <w:t xml:space="preserve">así como </w:t>
      </w:r>
      <w:r w:rsidR="00146927">
        <w:t xml:space="preserve">un </w:t>
      </w:r>
      <w:r w:rsidR="00366B71">
        <w:t>agente</w:t>
      </w:r>
      <w:r w:rsidR="00F349D9">
        <w:t xml:space="preserve"> espesante</w:t>
      </w:r>
      <w:r w:rsidR="00366B71">
        <w:t xml:space="preserve"> necesario para asegurar un régimen de goteo apropiado sobre la solución de alginato</w:t>
      </w:r>
      <w:r w:rsidR="00F349D9">
        <w:t>.</w:t>
      </w:r>
      <w:r w:rsidR="00366B71">
        <w:t xml:space="preserve"> </w:t>
      </w:r>
      <w:r w:rsidR="006E4AB0">
        <w:t>En este sentido, una concentración del PN-biopolímero superior al 10% p/v fue necesaria para poder lograr este efecto. Además</w:t>
      </w:r>
      <w:r w:rsidR="009677FC">
        <w:t xml:space="preserve">, </w:t>
      </w:r>
      <w:r w:rsidR="00366B71">
        <w:t xml:space="preserve">ejerció </w:t>
      </w:r>
      <w:r w:rsidR="009677FC">
        <w:t>cierto control sobre la liberación de los iones calcio involucrados en la formación de la membrana externa de las cápsulas</w:t>
      </w:r>
      <w:r w:rsidR="00366B71">
        <w:t xml:space="preserve"> durante la transición sol-gel de alginato</w:t>
      </w:r>
      <w:r w:rsidR="009677FC">
        <w:t xml:space="preserve">. </w:t>
      </w:r>
      <w:r w:rsidR="005C1D5B">
        <w:t xml:space="preserve">Estos resultados indican el gran potencial que tiene el </w:t>
      </w:r>
      <w:r w:rsidR="000F0235">
        <w:t xml:space="preserve">biopolímero extraído a partir del exudado gomoso de </w:t>
      </w:r>
      <w:r w:rsidR="000F0235">
        <w:rPr>
          <w:i/>
          <w:iCs/>
        </w:rPr>
        <w:br/>
        <w:t>P. nigra</w:t>
      </w:r>
      <w:r w:rsidR="005C1D5B">
        <w:t xml:space="preserve"> para su aplicación en la industria alimenticia dando </w:t>
      </w:r>
      <w:r w:rsidR="00D373E8">
        <w:t xml:space="preserve">además </w:t>
      </w:r>
      <w:r w:rsidR="005C1D5B">
        <w:t>un puntapié para el desarrollo de economías regionales que fomenten</w:t>
      </w:r>
      <w:r w:rsidR="00D373E8">
        <w:t xml:space="preserve"> </w:t>
      </w:r>
      <w:r w:rsidR="003009EB">
        <w:t>el uso y la producción</w:t>
      </w:r>
      <w:r w:rsidR="005C1D5B">
        <w:t xml:space="preserve"> </w:t>
      </w:r>
      <w:r w:rsidR="003009EB">
        <w:t>de gomas vegetales</w:t>
      </w:r>
      <w:r w:rsidR="005C1D5B">
        <w:t xml:space="preserve"> </w:t>
      </w:r>
      <w:r w:rsidR="003009EB">
        <w:t>obtenidas de especies nativas</w:t>
      </w:r>
      <w:r w:rsidR="005C1D5B">
        <w:t xml:space="preserve">. </w:t>
      </w:r>
    </w:p>
    <w:p w:rsidR="0046590C" w:rsidRDefault="0046590C">
      <w:pPr>
        <w:spacing w:after="0" w:line="240" w:lineRule="auto"/>
        <w:ind w:left="0" w:hanging="2"/>
      </w:pPr>
    </w:p>
    <w:p w:rsidR="0023704B" w:rsidRDefault="009F778C">
      <w:pPr>
        <w:spacing w:after="0" w:line="240" w:lineRule="auto"/>
        <w:ind w:left="0" w:hanging="2"/>
      </w:pPr>
      <w:r>
        <w:t>Palabras Clave:</w:t>
      </w:r>
      <w:r w:rsidR="0023704B">
        <w:t xml:space="preserve"> </w:t>
      </w:r>
    </w:p>
    <w:p w:rsidR="00146927" w:rsidRDefault="003009EB">
      <w:pPr>
        <w:spacing w:after="0" w:line="240" w:lineRule="auto"/>
        <w:ind w:left="0" w:hanging="2"/>
      </w:pPr>
      <w:r>
        <w:t>Exudado gomoso, b</w:t>
      </w:r>
      <w:r w:rsidR="00146927">
        <w:t>iopolímero, hidrocoloide, alginato, encapsulación de aceite.</w:t>
      </w:r>
    </w:p>
    <w:p w:rsidR="00146927" w:rsidRDefault="009F778C">
      <w:pPr>
        <w:spacing w:after="0" w:line="240" w:lineRule="auto"/>
        <w:ind w:left="0" w:hanging="2"/>
      </w:pPr>
      <w:r>
        <w:t xml:space="preserve"> </w:t>
      </w:r>
    </w:p>
    <w:p w:rsidR="0046590C" w:rsidRDefault="0046590C" w:rsidP="00146927">
      <w:pPr>
        <w:spacing w:after="0" w:line="240" w:lineRule="auto"/>
        <w:ind w:leftChars="0" w:left="0" w:firstLineChars="0" w:firstLine="0"/>
      </w:pPr>
    </w:p>
    <w:p w:rsidR="0046590C" w:rsidRDefault="0046590C">
      <w:pPr>
        <w:spacing w:after="0" w:line="240" w:lineRule="auto"/>
        <w:ind w:left="0" w:hanging="2"/>
      </w:pPr>
    </w:p>
    <w:sectPr w:rsidR="0046590C" w:rsidSect="00321A01">
      <w:headerReference w:type="default" r:id="rId10"/>
      <w:pgSz w:w="11907" w:h="16840"/>
      <w:pgMar w:top="1417" w:right="1701" w:bottom="1417" w:left="1701" w:header="794" w:footer="794"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ero" w:date="2022-07-29T15:19:00Z" w:initials="V">
    <w:p w:rsidR="00347F45" w:rsidRDefault="00347F45" w:rsidP="00347F45">
      <w:pPr>
        <w:pStyle w:val="Textocomentario"/>
        <w:ind w:left="0" w:hanging="2"/>
      </w:pPr>
      <w:r>
        <w:rPr>
          <w:rStyle w:val="Refdecomentario"/>
        </w:rPr>
        <w:annotationRef/>
      </w:r>
      <w:r>
        <w:t>como se midió la eficiencia de encapsulación? como se midió la estabilidad de la emulsión? se realizó algún análisis estadístico?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0EE" w:rsidRDefault="007C40EE">
      <w:pPr>
        <w:spacing w:after="0" w:line="240" w:lineRule="auto"/>
        <w:ind w:left="0" w:hanging="2"/>
      </w:pPr>
      <w:r>
        <w:separator/>
      </w:r>
    </w:p>
  </w:endnote>
  <w:endnote w:type="continuationSeparator" w:id="0">
    <w:p w:rsidR="007C40EE" w:rsidRDefault="007C40EE">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0EE" w:rsidRDefault="007C40EE">
      <w:pPr>
        <w:spacing w:after="0" w:line="240" w:lineRule="auto"/>
        <w:ind w:left="0" w:hanging="2"/>
      </w:pPr>
      <w:r>
        <w:separator/>
      </w:r>
    </w:p>
  </w:footnote>
  <w:footnote w:type="continuationSeparator" w:id="0">
    <w:p w:rsidR="007C40EE" w:rsidRDefault="007C40EE">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90C" w:rsidRDefault="009F778C">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footnotePr>
    <w:footnote w:id="-1"/>
    <w:footnote w:id="0"/>
  </w:footnotePr>
  <w:endnotePr>
    <w:endnote w:id="-1"/>
    <w:endnote w:id="0"/>
  </w:endnotePr>
  <w:compat/>
  <w:rsids>
    <w:rsidRoot w:val="0046590C"/>
    <w:rsid w:val="00034230"/>
    <w:rsid w:val="000A766F"/>
    <w:rsid w:val="000B5D7E"/>
    <w:rsid w:val="000F0235"/>
    <w:rsid w:val="001124A7"/>
    <w:rsid w:val="001270AC"/>
    <w:rsid w:val="001444DA"/>
    <w:rsid w:val="00146927"/>
    <w:rsid w:val="00196240"/>
    <w:rsid w:val="001B3781"/>
    <w:rsid w:val="0023704B"/>
    <w:rsid w:val="00265F57"/>
    <w:rsid w:val="002F5BD5"/>
    <w:rsid w:val="003009EB"/>
    <w:rsid w:val="00321A01"/>
    <w:rsid w:val="00347F45"/>
    <w:rsid w:val="00366B71"/>
    <w:rsid w:val="0046590C"/>
    <w:rsid w:val="00507587"/>
    <w:rsid w:val="005C1D5B"/>
    <w:rsid w:val="00614259"/>
    <w:rsid w:val="006A01BB"/>
    <w:rsid w:val="006E4AB0"/>
    <w:rsid w:val="007143D2"/>
    <w:rsid w:val="00795F44"/>
    <w:rsid w:val="007B0EB9"/>
    <w:rsid w:val="007C40EE"/>
    <w:rsid w:val="009677FC"/>
    <w:rsid w:val="009A1AEF"/>
    <w:rsid w:val="009F778C"/>
    <w:rsid w:val="00AA532E"/>
    <w:rsid w:val="00B300F5"/>
    <w:rsid w:val="00B664BE"/>
    <w:rsid w:val="00C91C4C"/>
    <w:rsid w:val="00D067FC"/>
    <w:rsid w:val="00D16A64"/>
    <w:rsid w:val="00D373E8"/>
    <w:rsid w:val="00E766B7"/>
    <w:rsid w:val="00EE7D3B"/>
    <w:rsid w:val="00F349D9"/>
    <w:rsid w:val="00F9643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A01"/>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rsid w:val="00321A01"/>
    <w:pPr>
      <w:keepNext/>
      <w:keepLines/>
      <w:spacing w:before="480" w:after="120"/>
    </w:pPr>
    <w:rPr>
      <w:b/>
      <w:sz w:val="48"/>
      <w:szCs w:val="48"/>
    </w:rPr>
  </w:style>
  <w:style w:type="paragraph" w:styleId="Ttulo2">
    <w:name w:val="heading 2"/>
    <w:basedOn w:val="Normal"/>
    <w:next w:val="Normal"/>
    <w:uiPriority w:val="9"/>
    <w:semiHidden/>
    <w:unhideWhenUsed/>
    <w:qFormat/>
    <w:rsid w:val="00321A0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321A0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321A01"/>
    <w:pPr>
      <w:keepNext/>
      <w:keepLines/>
      <w:spacing w:before="240" w:after="40"/>
      <w:outlineLvl w:val="3"/>
    </w:pPr>
    <w:rPr>
      <w:b/>
    </w:rPr>
  </w:style>
  <w:style w:type="paragraph" w:styleId="Ttulo5">
    <w:name w:val="heading 5"/>
    <w:basedOn w:val="Normal"/>
    <w:next w:val="Normal"/>
    <w:uiPriority w:val="9"/>
    <w:semiHidden/>
    <w:unhideWhenUsed/>
    <w:qFormat/>
    <w:rsid w:val="00321A0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321A0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rsid w:val="00321A01"/>
    <w:pPr>
      <w:keepNext/>
      <w:keepLines/>
      <w:spacing w:before="480" w:after="120"/>
    </w:pPr>
    <w:rPr>
      <w:b/>
      <w:sz w:val="72"/>
      <w:szCs w:val="72"/>
    </w:rPr>
  </w:style>
  <w:style w:type="paragraph" w:customStyle="1" w:styleId="Ttulo11">
    <w:name w:val="Título 11"/>
    <w:basedOn w:val="Normal"/>
    <w:next w:val="Normal"/>
    <w:rsid w:val="00321A01"/>
    <w:pPr>
      <w:jc w:val="center"/>
    </w:pPr>
    <w:rPr>
      <w:rFonts w:cs="Times New Roman"/>
      <w:b/>
    </w:rPr>
  </w:style>
  <w:style w:type="paragraph" w:customStyle="1" w:styleId="Ttulo21">
    <w:name w:val="Título 21"/>
    <w:basedOn w:val="Normal"/>
    <w:next w:val="Normal"/>
    <w:rsid w:val="00321A01"/>
    <w:pPr>
      <w:jc w:val="center"/>
      <w:outlineLvl w:val="1"/>
    </w:pPr>
    <w:rPr>
      <w:rFonts w:cs="Times New Roman"/>
    </w:rPr>
  </w:style>
  <w:style w:type="paragraph" w:customStyle="1" w:styleId="Ttulo31">
    <w:name w:val="Título 31"/>
    <w:basedOn w:val="Normal"/>
    <w:next w:val="Normal"/>
    <w:rsid w:val="00321A01"/>
    <w:pPr>
      <w:jc w:val="center"/>
      <w:outlineLvl w:val="2"/>
    </w:pPr>
    <w:rPr>
      <w:rFonts w:cs="Times New Roman"/>
    </w:rPr>
  </w:style>
  <w:style w:type="character" w:customStyle="1" w:styleId="Fuentedeprrafopredeter1">
    <w:name w:val="Fuente de párrafo predeter.1"/>
    <w:qFormat/>
    <w:rsid w:val="00321A01"/>
    <w:rPr>
      <w:w w:val="100"/>
      <w:position w:val="-1"/>
      <w:effect w:val="none"/>
      <w:vertAlign w:val="baseline"/>
      <w:cs w:val="0"/>
      <w:em w:val="none"/>
    </w:rPr>
  </w:style>
  <w:style w:type="table" w:customStyle="1" w:styleId="Tablanormal1">
    <w:name w:val="Tabla normal1"/>
    <w:qFormat/>
    <w:rsid w:val="00321A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rsid w:val="00321A01"/>
  </w:style>
  <w:style w:type="character" w:customStyle="1" w:styleId="Hipervnculo1">
    <w:name w:val="Hipervínculo1"/>
    <w:rsid w:val="00321A01"/>
    <w:rPr>
      <w:color w:val="0000FF"/>
      <w:w w:val="100"/>
      <w:position w:val="-1"/>
      <w:u w:val="single"/>
      <w:effect w:val="none"/>
      <w:vertAlign w:val="baseline"/>
      <w:cs w:val="0"/>
      <w:em w:val="none"/>
    </w:rPr>
  </w:style>
  <w:style w:type="character" w:customStyle="1" w:styleId="Ttulo1Car">
    <w:name w:val="Título 1 Car"/>
    <w:rsid w:val="00321A01"/>
    <w:rPr>
      <w:rFonts w:ascii="Arial" w:hAnsi="Arial" w:cs="Arial"/>
      <w:b/>
      <w:w w:val="100"/>
      <w:position w:val="-1"/>
      <w:sz w:val="24"/>
      <w:szCs w:val="24"/>
      <w:effect w:val="none"/>
      <w:vertAlign w:val="baseline"/>
      <w:cs w:val="0"/>
      <w:em w:val="none"/>
    </w:rPr>
  </w:style>
  <w:style w:type="character" w:customStyle="1" w:styleId="Ttulo2Car">
    <w:name w:val="Título 2 Car"/>
    <w:rsid w:val="00321A01"/>
    <w:rPr>
      <w:rFonts w:ascii="Arial" w:hAnsi="Arial" w:cs="Arial"/>
      <w:w w:val="100"/>
      <w:position w:val="-1"/>
      <w:sz w:val="24"/>
      <w:szCs w:val="24"/>
      <w:effect w:val="none"/>
      <w:vertAlign w:val="baseline"/>
      <w:cs w:val="0"/>
      <w:em w:val="none"/>
    </w:rPr>
  </w:style>
  <w:style w:type="character" w:customStyle="1" w:styleId="Ttulo3Car">
    <w:name w:val="Título 3 Car"/>
    <w:rsid w:val="00321A01"/>
    <w:rPr>
      <w:rFonts w:ascii="Arial" w:hAnsi="Arial" w:cs="Arial"/>
      <w:w w:val="100"/>
      <w:position w:val="-1"/>
      <w:sz w:val="24"/>
      <w:szCs w:val="24"/>
      <w:effect w:val="none"/>
      <w:vertAlign w:val="baseline"/>
      <w:cs w:val="0"/>
      <w:em w:val="none"/>
    </w:rPr>
  </w:style>
  <w:style w:type="paragraph" w:customStyle="1" w:styleId="Encabezado1">
    <w:name w:val="Encabezado1"/>
    <w:basedOn w:val="Normal"/>
    <w:qFormat/>
    <w:rsid w:val="00321A01"/>
    <w:pPr>
      <w:spacing w:after="0" w:line="240" w:lineRule="auto"/>
    </w:pPr>
    <w:rPr>
      <w:rFonts w:cs="Times New Roman"/>
    </w:rPr>
  </w:style>
  <w:style w:type="character" w:customStyle="1" w:styleId="EncabezadoCar">
    <w:name w:val="Encabezado Car"/>
    <w:rsid w:val="00321A01"/>
    <w:rPr>
      <w:rFonts w:ascii="Arial" w:hAnsi="Arial" w:cs="Arial"/>
      <w:w w:val="100"/>
      <w:position w:val="-1"/>
      <w:sz w:val="24"/>
      <w:szCs w:val="24"/>
      <w:effect w:val="none"/>
      <w:vertAlign w:val="baseline"/>
      <w:cs w:val="0"/>
      <w:em w:val="none"/>
    </w:rPr>
  </w:style>
  <w:style w:type="paragraph" w:customStyle="1" w:styleId="Piedepgina1">
    <w:name w:val="Pie de página1"/>
    <w:basedOn w:val="Normal"/>
    <w:qFormat/>
    <w:rsid w:val="00321A01"/>
    <w:pPr>
      <w:spacing w:after="0" w:line="240" w:lineRule="auto"/>
    </w:pPr>
    <w:rPr>
      <w:rFonts w:cs="Times New Roman"/>
    </w:rPr>
  </w:style>
  <w:style w:type="character" w:customStyle="1" w:styleId="PiedepginaCar">
    <w:name w:val="Pie de página Car"/>
    <w:rsid w:val="00321A01"/>
    <w:rPr>
      <w:rFonts w:ascii="Arial" w:hAnsi="Arial" w:cs="Arial"/>
      <w:w w:val="100"/>
      <w:position w:val="-1"/>
      <w:sz w:val="24"/>
      <w:szCs w:val="24"/>
      <w:effect w:val="none"/>
      <w:vertAlign w:val="baseline"/>
      <w:cs w:val="0"/>
      <w:em w:val="none"/>
    </w:rPr>
  </w:style>
  <w:style w:type="character" w:customStyle="1" w:styleId="Textoennegrita1">
    <w:name w:val="Texto en negrita1"/>
    <w:rsid w:val="00321A01"/>
    <w:rPr>
      <w:b/>
      <w:bCs/>
      <w:w w:val="100"/>
      <w:position w:val="-1"/>
      <w:effect w:val="none"/>
      <w:vertAlign w:val="baseline"/>
      <w:cs w:val="0"/>
      <w:em w:val="none"/>
    </w:rPr>
  </w:style>
  <w:style w:type="paragraph" w:customStyle="1" w:styleId="Textodeglobo1">
    <w:name w:val="Texto de globo1"/>
    <w:basedOn w:val="Normal"/>
    <w:qFormat/>
    <w:rsid w:val="00321A01"/>
    <w:pPr>
      <w:spacing w:after="0" w:line="240" w:lineRule="auto"/>
    </w:pPr>
    <w:rPr>
      <w:rFonts w:ascii="Segoe UI" w:hAnsi="Segoe UI" w:cs="Times New Roman"/>
      <w:sz w:val="18"/>
      <w:szCs w:val="18"/>
    </w:rPr>
  </w:style>
  <w:style w:type="character" w:customStyle="1" w:styleId="TextodegloboCar">
    <w:name w:val="Texto de globo Car"/>
    <w:rsid w:val="00321A01"/>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rsid w:val="00321A01"/>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1B3781"/>
    <w:rPr>
      <w:color w:val="0000FF" w:themeColor="hyperlink"/>
      <w:u w:val="single"/>
    </w:rPr>
  </w:style>
  <w:style w:type="character" w:customStyle="1" w:styleId="UnresolvedMention">
    <w:name w:val="Unresolved Mention"/>
    <w:basedOn w:val="Fuentedeprrafopredeter"/>
    <w:uiPriority w:val="99"/>
    <w:semiHidden/>
    <w:unhideWhenUsed/>
    <w:rsid w:val="001B3781"/>
    <w:rPr>
      <w:color w:val="605E5C"/>
      <w:shd w:val="clear" w:color="auto" w:fill="E1DFDD"/>
    </w:rPr>
  </w:style>
  <w:style w:type="character" w:styleId="Refdecomentario">
    <w:name w:val="annotation reference"/>
    <w:basedOn w:val="Fuentedeprrafopredeter"/>
    <w:uiPriority w:val="99"/>
    <w:semiHidden/>
    <w:unhideWhenUsed/>
    <w:rsid w:val="00347F45"/>
    <w:rPr>
      <w:sz w:val="16"/>
      <w:szCs w:val="16"/>
    </w:rPr>
  </w:style>
  <w:style w:type="paragraph" w:styleId="Textocomentario">
    <w:name w:val="annotation text"/>
    <w:basedOn w:val="Normal"/>
    <w:link w:val="TextocomentarioCar"/>
    <w:uiPriority w:val="99"/>
    <w:semiHidden/>
    <w:unhideWhenUsed/>
    <w:rsid w:val="00347F4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47F45"/>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47F45"/>
    <w:rPr>
      <w:b/>
      <w:bCs/>
    </w:rPr>
  </w:style>
  <w:style w:type="character" w:customStyle="1" w:styleId="AsuntodelcomentarioCar">
    <w:name w:val="Asunto del comentario Car"/>
    <w:basedOn w:val="TextocomentarioCar"/>
    <w:link w:val="Asuntodelcomentario"/>
    <w:uiPriority w:val="99"/>
    <w:semiHidden/>
    <w:rsid w:val="00347F45"/>
    <w:rPr>
      <w:b/>
      <w:bCs/>
    </w:rPr>
  </w:style>
  <w:style w:type="paragraph" w:styleId="Textodeglobo">
    <w:name w:val="Balloon Text"/>
    <w:basedOn w:val="Normal"/>
    <w:link w:val="TextodegloboCar1"/>
    <w:uiPriority w:val="99"/>
    <w:semiHidden/>
    <w:unhideWhenUsed/>
    <w:rsid w:val="00347F45"/>
    <w:pPr>
      <w:spacing w:after="0"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347F45"/>
    <w:rPr>
      <w:rFonts w:ascii="Tahoma" w:hAnsi="Tahoma" w:cs="Tahoma"/>
      <w:position w:val="-1"/>
      <w:sz w:val="16"/>
      <w:szCs w:val="16"/>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ymorales_2006@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914C9C-76BA-4B90-AF51-99AD1A419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647</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2022-07-29T18:20:00Z</dcterms:created>
  <dcterms:modified xsi:type="dcterms:W3CDTF">2022-07-29T18:20:00Z</dcterms:modified>
</cp:coreProperties>
</file>