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Uso de masas madre espontáneas de quinoa y trigo sarraceno para elaborar panes libres de gluten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López MS (1), Sciarini LS (1,2), Salvucci EJ (1), Pérez GT (1,2)</w:t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(1) Instituto de Ciencia y Tecnología de Alimentos Córdoba (ICYTAC-CONICET-UNC), Universidad Nacional de Córdoba. Córdoba, Argentina.</w:t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(2) Facultad de Ciencias Agropecuarias - Universidad Nacional de Córdoba.</w:t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Córdoba, Argentina.</w:t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Dirección de e-mail: </w:t>
      </w:r>
      <w:r w:rsidDel="00000000" w:rsidR="00000000" w:rsidRPr="00000000">
        <w:rPr>
          <w:rtl w:val="0"/>
        </w:rPr>
        <w:t xml:space="preserve">mslopez@agro.unc.edu.ar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El objetivo de este trabajo fue evaluar la incorporación de masas madre (MM) de harinas no convencionales sobre la calidad tecnológica de panes libres de gluten y su actividad antioxidante. Para elaborar las MM se realizaron fermentaciones espontáneas de harinas de grano entero de quinoa (Q) y trigo sarraceno (TS). Para las primeras se utilizó un rendimiento de masa de 200, y para las segundas, de 300. Las masas se fermentaron a 30°C durante 7 días, con repique diario. Se monitorearon diariamente el pH y la acidez total titulable (ATT), y se realizó un recuento en placa al inicio y al final del proceso. Transcurridos los 7 días de fermentación, las MM fueron empleadas para panificar, y una porción fue liofilizada para el análisis posterior de polifenoles totales (Folin-Ciocalteu) y actividad antioxidante (FRAP y ABTS). Se realizó la identificación de las cepas predominantes en cada sistema por MALDI-TOF. Los panes se elaboraron con distintos porcentajes de sustitución de la harina por masa madre de Q o TS (10%, 15% y 20%). Dos horas luego del horneado, se evaluó la calidad tecnológica de los panes (volumen específico -VE- y textura de la miga), y se evaluó el endurecimiento durante 3 días de almacenamiento (25°C). Una fracción de los panes frescos se liofilizó para cuantificar los polifenoles totales y su actividad antioxidante. Las MM de TS fueron más ácidas que las de Q (3,8 y 4,2, respectivamente), pero no se observó una diferencia estadística entre el recuento de bacterias entre ambas MM. La microbiota de las MM estuvo dominada por </w:t>
      </w:r>
      <w:r w:rsidDel="00000000" w:rsidR="00000000" w:rsidRPr="00000000">
        <w:rPr>
          <w:i w:val="1"/>
          <w:rtl w:val="0"/>
        </w:rPr>
        <w:t xml:space="preserve">Pediococcus pentasaceus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Pediococcus acidilactici</w:t>
      </w:r>
      <w:r w:rsidDel="00000000" w:rsidR="00000000" w:rsidRPr="00000000">
        <w:rPr>
          <w:rtl w:val="0"/>
        </w:rPr>
        <w:t xml:space="preserve">, en una proporción 40/60 para la de TS y 29/71 para la de Q. El contenido de polifenoles extraíbles aumentó en las MM de Q luego de la fermentación, aunque no se observaron diferencias significativas (p</w:t>
      </w:r>
      <w:r w:rsidDel="00000000" w:rsidR="00000000" w:rsidRPr="00000000">
        <w:rPr>
          <w:rtl w:val="0"/>
        </w:rPr>
        <w:t xml:space="preserve">&lt;0,05) para las masas TS. Los valores de FRAP aumentaron un 27% luego de la fermentación de MM-Q, y se redujeron un 16% en las de TS; los valores de ABTS no se modificaron luego de la fermentación. La incorporación de MM mejoró la calidad del pan, especialmente cuando se incorporó al 20%. Ambas MM aumentaron el VE respecto al pan control, y los panes con MM-Q presentaron mayor VE que los panes con MM-TS. Asimismo, el uso de MM redujo notablemente la firmeza inicial de la miga y la velocidad de endurecimiento (2,73 N/día para el pan con MM-Q; 2,60 N/día para MM-TS y 4,91 N/día para el pan control). Se observó un incremento tanto de los polifenoles libres como de la capacidad reductora (FRAP) en los panes con MM tanto de Q como de TS. El uso de MM llevó a una mejora de la calidad tecnológica de los panes libres de gluten, así como a una mayor extracción de compuestos fenólicos y actividad antioxidante. 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Palabras Clave: calidad tecnológica, capacidad antioxidante, microbiota, </w:t>
      </w:r>
      <w:r w:rsidDel="00000000" w:rsidR="00000000" w:rsidRPr="00000000">
        <w:rPr>
          <w:i w:val="1"/>
          <w:rtl w:val="0"/>
        </w:rPr>
        <w:t xml:space="preserve">Pediococcus</w:t>
      </w:r>
      <w:r w:rsidDel="00000000" w:rsidR="00000000" w:rsidRPr="00000000">
        <w:rPr>
          <w:rtl w:val="0"/>
        </w:rPr>
        <w:t xml:space="preserve"> spp.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7" w:top="1417" w:left="1701" w:right="1701" w:header="79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VIII Congreso Internacional de Ciencia y Tecnología de Alimentos (CICYTAC 202</w:t>
    </w:r>
    <w:r w:rsidDel="00000000" w:rsidR="00000000" w:rsidRPr="00000000">
      <w:rPr>
        <w:b w:val="1"/>
        <w:i w:val="1"/>
        <w:sz w:val="18"/>
        <w:szCs w:val="18"/>
        <w:highlight w:val="white"/>
        <w:rtl w:val="0"/>
      </w:rPr>
      <w:t xml:space="preserve">2</w:t>
    </w: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AR"/>
      </w:rPr>
    </w:rPrDefault>
    <w:pPrDefault>
      <w:pPr>
        <w:spacing w:after="200" w:line="276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jc w:val="center"/>
    </w:pPr>
    <w:rPr>
      <w:rFonts w:cs="Times New Roman"/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Segoe UI" w:cs="Times New Roman" w:hAnsi="Segoe UI"/>
      <w:sz w:val="18"/>
      <w:szCs w:val="18"/>
    </w:rPr>
  </w:style>
  <w:style w:type="character" w:styleId="TextodegloboCar" w:customStyle="1">
    <w:name w:val="Texto de globo C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A1651"/>
    <w:rPr>
      <w:color w:val="605e5c"/>
      <w:shd w:color="auto" w:fill="e1dfdd" w:val="clear"/>
    </w:rPr>
  </w:style>
  <w:style w:type="paragraph" w:styleId="Revisin">
    <w:name w:val="Revision"/>
    <w:hidden w:val="1"/>
    <w:uiPriority w:val="99"/>
    <w:semiHidden w:val="1"/>
    <w:rsid w:val="00515B4C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15B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15B4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15B4C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15B4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15B4C"/>
    <w:rPr>
      <w:b w:val="1"/>
      <w:bCs w:val="1"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961EE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20CoASBs3UNyYCfaniGOXY2S3w==">AMUW2mW7wSw7uHTau60DExXTL2188To3onQlmmpVVIizaaw5xsJUaJs63MFF82z3PNAgJ7i1ZaQzCHYkVFzeVnyIlhSC7SqpKGhm5V6e1o+YkeyEsxL7WO8=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2022-06-27T21:57:00Z</dcterms:created>
  <dc:creator>User</dc:creator>
</cp:coreProperties>
</file>