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487" w:rsidRPr="000D2A19" w:rsidRDefault="00135DB5" w:rsidP="000D2A19">
      <w:pPr>
        <w:pBdr>
          <w:top w:val="nil"/>
          <w:left w:val="nil"/>
          <w:bottom w:val="nil"/>
          <w:right w:val="nil"/>
          <w:between w:val="nil"/>
        </w:pBdr>
        <w:spacing w:after="0" w:line="240" w:lineRule="auto"/>
        <w:ind w:left="358" w:firstLine="0"/>
        <w:jc w:val="center"/>
        <w:rPr>
          <w:b/>
        </w:rPr>
      </w:pPr>
      <w:r>
        <w:rPr>
          <w:b/>
          <w:color w:val="000000"/>
        </w:rPr>
        <w:t>Estudio de las propiedades</w:t>
      </w:r>
      <w:r w:rsidR="00C97E53" w:rsidRPr="000D2A19">
        <w:rPr>
          <w:b/>
          <w:color w:val="000000"/>
        </w:rPr>
        <w:t xml:space="preserve"> </w:t>
      </w:r>
      <w:r w:rsidR="0037066B" w:rsidRPr="000D2A19">
        <w:rPr>
          <w:b/>
          <w:color w:val="000000"/>
        </w:rPr>
        <w:t xml:space="preserve">fisicoquímicas de las materias primas. Efectos sobre la calidad del </w:t>
      </w:r>
      <w:r w:rsidR="0037066B" w:rsidRPr="000D2A19">
        <w:rPr>
          <w:b/>
        </w:rPr>
        <w:t>Jamón cocción lenta</w:t>
      </w:r>
    </w:p>
    <w:p w:rsidR="00225487" w:rsidRDefault="00225487">
      <w:pPr>
        <w:pBdr>
          <w:top w:val="nil"/>
          <w:left w:val="nil"/>
          <w:bottom w:val="nil"/>
          <w:right w:val="nil"/>
          <w:between w:val="nil"/>
        </w:pBdr>
        <w:spacing w:after="0" w:line="240" w:lineRule="auto"/>
        <w:ind w:hanging="2"/>
        <w:jc w:val="center"/>
        <w:rPr>
          <w:b/>
          <w:color w:val="000000"/>
        </w:rPr>
      </w:pPr>
    </w:p>
    <w:p w:rsidR="00225487" w:rsidRDefault="0037066B">
      <w:pPr>
        <w:spacing w:after="0" w:line="240" w:lineRule="auto"/>
        <w:ind w:hanging="2"/>
        <w:jc w:val="center"/>
      </w:pPr>
      <w:proofErr w:type="spellStart"/>
      <w:r>
        <w:t>Cagnoli</w:t>
      </w:r>
      <w:proofErr w:type="spellEnd"/>
      <w:r>
        <w:t xml:space="preserve"> J (1)</w:t>
      </w:r>
      <w:r w:rsidR="006D6AAA">
        <w:t>,</w:t>
      </w:r>
      <w:r>
        <w:t xml:space="preserve"> Palacio MI (2)</w:t>
      </w:r>
      <w:r w:rsidR="006D6AAA">
        <w:t>,</w:t>
      </w:r>
      <w:r>
        <w:t xml:space="preserve"> </w:t>
      </w:r>
      <w:proofErr w:type="spellStart"/>
      <w:r>
        <w:t>Diaz</w:t>
      </w:r>
      <w:proofErr w:type="spellEnd"/>
      <w:r>
        <w:t xml:space="preserve"> M (1)</w:t>
      </w:r>
      <w:r w:rsidR="006D6AAA">
        <w:t>,</w:t>
      </w:r>
      <w:r>
        <w:t xml:space="preserve"> </w:t>
      </w:r>
      <w:proofErr w:type="spellStart"/>
      <w:r>
        <w:t>Dietz</w:t>
      </w:r>
      <w:proofErr w:type="spellEnd"/>
      <w:r>
        <w:t xml:space="preserve"> D (3)</w:t>
      </w:r>
      <w:r w:rsidR="006D6AAA">
        <w:t>,</w:t>
      </w:r>
      <w:r>
        <w:t xml:space="preserve"> </w:t>
      </w:r>
      <w:proofErr w:type="spellStart"/>
      <w:r>
        <w:t>Rubel</w:t>
      </w:r>
      <w:proofErr w:type="spellEnd"/>
      <w:r>
        <w:t xml:space="preserve"> I (3)</w:t>
      </w:r>
      <w:r w:rsidR="006D6AAA">
        <w:t>,</w:t>
      </w:r>
      <w:r>
        <w:t xml:space="preserve"> Latorre ME (2,4)</w:t>
      </w:r>
    </w:p>
    <w:p w:rsidR="00225487" w:rsidRDefault="00225487">
      <w:pPr>
        <w:spacing w:after="0" w:line="240" w:lineRule="auto"/>
        <w:ind w:hanging="2"/>
        <w:jc w:val="center"/>
      </w:pPr>
    </w:p>
    <w:p w:rsidR="00225487" w:rsidRDefault="0037066B">
      <w:pPr>
        <w:spacing w:after="120" w:line="240" w:lineRule="auto"/>
        <w:ind w:hanging="2"/>
        <w:jc w:val="left"/>
      </w:pPr>
      <w:r>
        <w:t>(1) Departamento de Tecnología y Calidad de Alimentos. Facultad de Ciencias Veterinaria, UNCPBA. Campus Universitario, Tandil, Buenos Aires, Argentina.</w:t>
      </w:r>
    </w:p>
    <w:p w:rsidR="00225487" w:rsidRDefault="0037066B">
      <w:pPr>
        <w:spacing w:after="120" w:line="240" w:lineRule="auto"/>
        <w:ind w:hanging="2"/>
        <w:jc w:val="left"/>
      </w:pPr>
      <w:r>
        <w:t>(2) Centro de Investigación Veterinaria de Tandil (CIVETAN), CONICET, CICPBA. Departamento de Tecnología de los Alimentos, Facultad de Ciencias Veterinarias, UNCPBA. Campus Universitario, Tandil, Buenos Aires, Argentina.</w:t>
      </w:r>
    </w:p>
    <w:p w:rsidR="00225487" w:rsidRDefault="0037066B">
      <w:pPr>
        <w:spacing w:after="120" w:line="240" w:lineRule="auto"/>
        <w:ind w:hanging="2"/>
        <w:jc w:val="left"/>
      </w:pPr>
      <w:r>
        <w:t xml:space="preserve">(3) Núcleo Tecnología de Semillas y Alimentos. Departamento de Ingeniería Química y Tecnología de Alimentos. Facultad de Ingeniería, UNCPBA. Av. Del </w:t>
      </w:r>
      <w:r>
        <w:rPr>
          <w:color w:val="000000"/>
        </w:rPr>
        <w:t>Valle 5737</w:t>
      </w:r>
      <w:r>
        <w:t>, Olavarría, Buenos Aires, Argentina.</w:t>
      </w:r>
    </w:p>
    <w:p w:rsidR="00225487" w:rsidRDefault="0037066B">
      <w:pPr>
        <w:spacing w:after="120" w:line="240" w:lineRule="auto"/>
        <w:ind w:hanging="2"/>
        <w:jc w:val="left"/>
      </w:pPr>
      <w:r>
        <w:t>(4) Consejo Nacional de Investigaciones Científicas y Técnicas (CONICET) CIVETAN. Campus Universitario, Tandil, Buenos Aires, Argentina.</w:t>
      </w:r>
    </w:p>
    <w:p w:rsidR="00D408AE" w:rsidRPr="00D408AE" w:rsidRDefault="0037066B">
      <w:pPr>
        <w:spacing w:line="240" w:lineRule="auto"/>
        <w:ind w:hanging="2"/>
        <w:jc w:val="left"/>
        <w:rPr>
          <w:color w:val="0000FF"/>
        </w:rPr>
      </w:pPr>
      <w:r>
        <w:rPr>
          <w:color w:val="000000"/>
        </w:rPr>
        <w:t>Dirección de e-mail:</w:t>
      </w:r>
      <w:r>
        <w:rPr>
          <w:color w:val="000000"/>
        </w:rPr>
        <w:tab/>
      </w:r>
      <w:r w:rsidR="00D408AE" w:rsidRPr="00D408AE">
        <w:rPr>
          <w:color w:val="0000FF"/>
        </w:rPr>
        <w:t>latorre.emilia@gmail.com</w:t>
      </w:r>
    </w:p>
    <w:p w:rsidR="00D408AE" w:rsidRPr="00D408AE" w:rsidRDefault="00D408AE">
      <w:pPr>
        <w:spacing w:after="0" w:line="240" w:lineRule="auto"/>
        <w:ind w:hanging="2"/>
      </w:pPr>
      <w:r w:rsidRPr="00D408AE">
        <w:t>RESUMEN</w:t>
      </w:r>
    </w:p>
    <w:p w:rsidR="00D408AE" w:rsidRPr="00D408AE" w:rsidRDefault="00D408AE">
      <w:pPr>
        <w:spacing w:after="0" w:line="240" w:lineRule="auto"/>
        <w:ind w:hanging="2"/>
      </w:pPr>
    </w:p>
    <w:p w:rsidR="00D408AE" w:rsidRPr="00D408AE" w:rsidRDefault="00D408AE" w:rsidP="001C0821">
      <w:pPr>
        <w:spacing w:after="0" w:line="240" w:lineRule="auto"/>
        <w:ind w:hanging="2"/>
      </w:pPr>
      <w:r w:rsidRPr="00D408AE">
        <w:t>Las características composicionales y fisicoquímicas de la materia prima (MP) presentan importancia fundamental en la calidad de producto elaborado (PE). Los principales factores intrínsecos que afectan de manera directa a la calidad de un producto cárnico cocido son:</w:t>
      </w:r>
      <w:r w:rsidR="001C0821">
        <w:t xml:space="preserve"> </w:t>
      </w:r>
      <w:r w:rsidRPr="00D408AE">
        <w:t>proteínas y lípidos presentes en los cortes tisulares; pH y humedad de la carne empleada</w:t>
      </w:r>
      <w:r w:rsidR="00213BB1">
        <w:t xml:space="preserve"> como MP. </w:t>
      </w:r>
      <w:r w:rsidRPr="00D408AE">
        <w:t>Estos factores impactan sobre las características sensoriales y estabilidad del PE. El pH de la carne post-sacrificio condiciona el grado de desnaturalización proteica. La demanda de los consumidores de carnes magras, ha llevado a producir animales de razas magras (52,5-60% magro de la canal de cerdo</w:t>
      </w:r>
      <w:r w:rsidR="001C0821">
        <w:t>)</w:t>
      </w:r>
      <w:r w:rsidRPr="00D408AE">
        <w:t xml:space="preserve"> propensas a presentar </w:t>
      </w:r>
      <w:r w:rsidR="001C0821">
        <w:t>d</w:t>
      </w:r>
      <w:r w:rsidRPr="00D408AE">
        <w:t>escenso rápido</w:t>
      </w:r>
      <w:r>
        <w:t xml:space="preserve"> de pH,</w:t>
      </w:r>
      <w:r w:rsidRPr="00D408AE">
        <w:t xml:space="preserve"> alcanzando </w:t>
      </w:r>
      <w:r>
        <w:t>valores</w:t>
      </w:r>
      <w:r w:rsidRPr="00D408AE">
        <w:t xml:space="preserve"> </w:t>
      </w:r>
      <w:r>
        <w:t>de pH</w:t>
      </w:r>
      <w:r w:rsidRPr="00D408AE">
        <w:t>&lt;5,5, provocando acentuada desnaturalización proteica y consecuente obtención de carnes pálidas, suaves y exudativas (C-PSE). La C-PSE presenta baja capacidad de retención de agua, pérdidas por cocción</w:t>
      </w:r>
      <w:r>
        <w:t xml:space="preserve"> elevadas</w:t>
      </w:r>
      <w:r w:rsidRPr="00D408AE">
        <w:t xml:space="preserve">, baja jugosidad y textura blanda, </w:t>
      </w:r>
      <w:r w:rsidR="001C0821">
        <w:t xml:space="preserve">siendo </w:t>
      </w:r>
      <w:r w:rsidRPr="00D408AE">
        <w:t xml:space="preserve">características indeseables para la elaboración de productos cárnicos cocidos. </w:t>
      </w:r>
      <w:r w:rsidR="001C0821">
        <w:t xml:space="preserve">Conocer </w:t>
      </w:r>
      <w:r w:rsidRPr="00D408AE">
        <w:t xml:space="preserve">las características de las MP: tejidos musculares, </w:t>
      </w:r>
      <w:r w:rsidR="001C0821">
        <w:t>grasos y de cobertura, permitirán</w:t>
      </w:r>
      <w:r w:rsidRPr="00D408AE">
        <w:t xml:space="preserve"> mejorar el PE o modificar </w:t>
      </w:r>
      <w:r w:rsidRPr="00D408AE">
        <w:rPr>
          <w:i/>
        </w:rPr>
        <w:t>in-situ</w:t>
      </w:r>
      <w:r w:rsidRPr="00D408AE">
        <w:t xml:space="preserve"> variables de formulación y producción, que permitan evitar efectos indeseados sobre el PE. El objetivo del trabajo fue evaluar el efecto de la composición química y propiedades fisicoquímicas de las </w:t>
      </w:r>
      <w:r>
        <w:t>MP</w:t>
      </w:r>
      <w:r w:rsidR="001C0821">
        <w:t xml:space="preserve">, </w:t>
      </w:r>
      <w:r w:rsidRPr="00D408AE">
        <w:t>empleadas para la elaboración de jamón cocción lenta</w:t>
      </w:r>
      <w:r w:rsidR="001C0821">
        <w:t>,</w:t>
      </w:r>
      <w:r>
        <w:t xml:space="preserve"> </w:t>
      </w:r>
      <w:r w:rsidRPr="00D408AE">
        <w:t>sobre la composición química</w:t>
      </w:r>
      <w:r w:rsidR="00213BB1">
        <w:t xml:space="preserve"> y color de estos</w:t>
      </w:r>
      <w:r w:rsidRPr="00D408AE">
        <w:t xml:space="preserve">. </w:t>
      </w:r>
      <w:r w:rsidR="001F3028">
        <w:t xml:space="preserve">Sobre las MP, se evaluó el </w:t>
      </w:r>
      <w:r w:rsidR="001C0821">
        <w:t xml:space="preserve">contenido de: </w:t>
      </w:r>
      <w:r w:rsidR="001F3028" w:rsidRPr="001F3028">
        <w:t>proteí</w:t>
      </w:r>
      <w:r w:rsidR="001F3028">
        <w:t>nas, humedad, lípidos y cenizas totales y propiedades fisicoquímicas</w:t>
      </w:r>
      <w:r w:rsidR="001C0821">
        <w:t>:</w:t>
      </w:r>
      <w:r w:rsidR="001F3028">
        <w:t xml:space="preserve"> pH y color. </w:t>
      </w:r>
      <w:r w:rsidR="001C0821">
        <w:t>Los jamones fueron elaborados en</w:t>
      </w:r>
      <w:r>
        <w:t xml:space="preserve"> planta productiva </w:t>
      </w:r>
      <w:proofErr w:type="spellStart"/>
      <w:r>
        <w:t>C</w:t>
      </w:r>
      <w:r w:rsidR="00810B66">
        <w:t>agnoli</w:t>
      </w:r>
      <w:proofErr w:type="spellEnd"/>
      <w:r w:rsidR="00810B66">
        <w:t xml:space="preserve"> </w:t>
      </w:r>
      <w:r>
        <w:t xml:space="preserve">S.A. acorde </w:t>
      </w:r>
      <w:r w:rsidR="001F3028">
        <w:t>a la</w:t>
      </w:r>
      <w:r>
        <w:t xml:space="preserve"> formulación </w:t>
      </w:r>
      <w:r w:rsidR="001F3028">
        <w:t xml:space="preserve">propia de los </w:t>
      </w:r>
      <w:r w:rsidR="001C0821">
        <w:t xml:space="preserve">productores. Se </w:t>
      </w:r>
      <w:r w:rsidR="001F3028">
        <w:t xml:space="preserve">evaluó en estos </w:t>
      </w:r>
      <w:r w:rsidR="001C0821">
        <w:t>la</w:t>
      </w:r>
      <w:r w:rsidR="001F3028">
        <w:t xml:space="preserve"> composición química y color. </w:t>
      </w:r>
      <w:r w:rsidRPr="00D408AE">
        <w:t>Los resultados mostraron diferencias significativas en los valores de pH de las carnes, hallando en 4 de los 10 lotes estudiados, valores de pH&lt;5,5 (C-PSE). Las muestras C-PSE presentaron además bajas HR (65-71%), esperable para este tipo de carnes. El contenido de proteínas, lípidos y cenizas totales de las carnes no presentaron diferencias entre los lotes (26,1±3,1; 1,01±0,24; 1,13±0,03 g/100g base húmeda (</w:t>
      </w:r>
      <w:proofErr w:type="spellStart"/>
      <w:r w:rsidRPr="00D408AE">
        <w:t>b.h</w:t>
      </w:r>
      <w:proofErr w:type="spellEnd"/>
      <w:r w:rsidRPr="00D408AE">
        <w:t xml:space="preserve">.), </w:t>
      </w:r>
      <w:r w:rsidR="001C0821">
        <w:t>respectivamente). Los</w:t>
      </w:r>
      <w:r w:rsidRPr="00D408AE">
        <w:t xml:space="preserve"> tejido</w:t>
      </w:r>
      <w:r w:rsidR="001C0821">
        <w:t>s</w:t>
      </w:r>
      <w:r w:rsidRPr="00D408AE">
        <w:t xml:space="preserve"> adiposo y</w:t>
      </w:r>
      <w:r w:rsidR="001F3028">
        <w:t xml:space="preserve"> </w:t>
      </w:r>
      <w:r w:rsidRPr="00D408AE">
        <w:t>cobertura presentaron un contenido lipídico de 18,4</w:t>
      </w:r>
      <w:r w:rsidRPr="00D408AE">
        <w:rPr>
          <w:rFonts w:ascii="Times New Roman" w:eastAsia="Times New Roman" w:hAnsi="Times New Roman" w:cs="Times New Roman"/>
        </w:rPr>
        <w:t>±</w:t>
      </w:r>
      <w:r w:rsidRPr="00D408AE">
        <w:t>2,52 y 5,8</w:t>
      </w:r>
      <w:r w:rsidRPr="00D408AE">
        <w:rPr>
          <w:rFonts w:ascii="Times New Roman" w:eastAsia="Times New Roman" w:hAnsi="Times New Roman" w:cs="Times New Roman"/>
        </w:rPr>
        <w:t>±</w:t>
      </w:r>
      <w:r w:rsidRPr="00D408AE">
        <w:t>2,4 g/100g tejido (</w:t>
      </w:r>
      <w:proofErr w:type="spellStart"/>
      <w:r w:rsidRPr="00D408AE">
        <w:t>b.h</w:t>
      </w:r>
      <w:proofErr w:type="spellEnd"/>
      <w:r w:rsidRPr="00D408AE">
        <w:t xml:space="preserve">.), </w:t>
      </w:r>
      <w:r w:rsidR="001B0C56">
        <w:t xml:space="preserve">respectivamente. </w:t>
      </w:r>
      <w:r w:rsidR="001F3028" w:rsidRPr="001F3028">
        <w:t xml:space="preserve">Sus elevados contenidos </w:t>
      </w:r>
      <w:r w:rsidR="001C0821">
        <w:t xml:space="preserve">deberían considerarse en </w:t>
      </w:r>
      <w:r w:rsidR="001F3028" w:rsidRPr="001F3028">
        <w:t xml:space="preserve">futuros desarrollos de PE bajos o reducidos en grasas totales. </w:t>
      </w:r>
      <w:r w:rsidR="001C0821" w:rsidRPr="001C0821">
        <w:t>Los valores de luminosidad (L*) y amarillez (b*) fueron mayores en las C-PSE.</w:t>
      </w:r>
      <w:r w:rsidR="001C0821">
        <w:t xml:space="preserve"> Los jamones obtenidos, </w:t>
      </w:r>
      <w:r w:rsidRPr="00D408AE">
        <w:t>no presentaron diferencias significativas en el color (L*:60,7±5,1; a*:12,1±1,7; b*:6,8±1,2</w:t>
      </w:r>
      <w:r w:rsidRPr="00D408AE">
        <w:rPr>
          <w:rFonts w:ascii="Times New Roman" w:eastAsia="Times New Roman" w:hAnsi="Times New Roman" w:cs="Times New Roman"/>
        </w:rPr>
        <w:t>).</w:t>
      </w:r>
      <w:r w:rsidRPr="00D408AE">
        <w:t xml:space="preserve"> Sólo 3 muestras presentaron un contenido de </w:t>
      </w:r>
      <w:r w:rsidR="00213BB1">
        <w:t>HR</w:t>
      </w:r>
      <w:r w:rsidRPr="00D408AE">
        <w:t xml:space="preserve">&lt;70%. Los resultados muestran que, si bien los cortes de carne empleados como MP presentaron características fisicoquímicas y %HR heterogéneas, el procesamiento (salazón-cocción), permitió </w:t>
      </w:r>
      <w:r w:rsidR="001F3028">
        <w:t>alcanzar</w:t>
      </w:r>
      <w:r w:rsidRPr="00D408AE">
        <w:t xml:space="preserve"> jamones con características homogéneas. El porcentaje de C-PSE en cada lote de elaboración, características de terneza y sinéresis de los PE durante el almacenamiento deberían ser evaluada en un futuro, dado que son factores relevantes para la industria de procesamientos cárnicos. Los resultados sugieren la importancia de profundizar y ampliar </w:t>
      </w:r>
      <w:r w:rsidR="00213BB1">
        <w:t>los estudios de</w:t>
      </w:r>
      <w:r w:rsidRPr="00D408AE">
        <w:t xml:space="preserve"> las MP, por</w:t>
      </w:r>
      <w:r w:rsidR="00213BB1">
        <w:t xml:space="preserve">centajes de C-PSE e </w:t>
      </w:r>
      <w:r w:rsidR="001C0821">
        <w:t>impacto sobre los PE</w:t>
      </w:r>
      <w:r w:rsidRPr="00D408AE">
        <w:t xml:space="preserve">. </w:t>
      </w:r>
      <w:r w:rsidRPr="00D408AE">
        <w:rPr>
          <w:b/>
        </w:rPr>
        <w:t>Agradecimientos</w:t>
      </w:r>
      <w:r w:rsidRPr="00D408AE">
        <w:t>: Proyecto Proyectos Estratégicos de Investigación, Desa</w:t>
      </w:r>
      <w:r w:rsidR="00F43E30">
        <w:t>rrollo y Transferencia (PEIyD-2021)</w:t>
      </w:r>
      <w:r w:rsidRPr="00D408AE">
        <w:t xml:space="preserve"> y Empresa </w:t>
      </w:r>
      <w:proofErr w:type="spellStart"/>
      <w:r w:rsidRPr="00D408AE">
        <w:t>Cagnoli</w:t>
      </w:r>
      <w:proofErr w:type="spellEnd"/>
      <w:r w:rsidRPr="00D408AE">
        <w:t xml:space="preserve"> SA.</w:t>
      </w:r>
    </w:p>
    <w:p w:rsidR="00D408AE" w:rsidRPr="00D408AE" w:rsidRDefault="00D408AE">
      <w:pPr>
        <w:spacing w:after="0" w:line="240" w:lineRule="auto"/>
        <w:ind w:firstLine="0"/>
        <w:rPr>
          <w:i/>
        </w:rPr>
      </w:pPr>
    </w:p>
    <w:p w:rsidR="00D408AE" w:rsidRPr="00D408AE" w:rsidRDefault="00D408AE">
      <w:pPr>
        <w:spacing w:after="0" w:line="240" w:lineRule="auto"/>
        <w:ind w:hanging="2"/>
        <w:rPr>
          <w:sz w:val="20"/>
          <w:szCs w:val="20"/>
        </w:rPr>
      </w:pPr>
      <w:r w:rsidRPr="00D408AE">
        <w:rPr>
          <w:bCs/>
        </w:rPr>
        <w:t>Palabras clave:</w:t>
      </w:r>
      <w:r w:rsidRPr="00D408AE">
        <w:t xml:space="preserve"> Tejido muscular, tejido adiposo, análisis composicional, calidad de producto elaborado.</w:t>
      </w:r>
    </w:p>
    <w:p w:rsidR="00225487" w:rsidRPr="00D408AE" w:rsidRDefault="00225487">
      <w:pPr>
        <w:spacing w:after="0" w:line="240" w:lineRule="auto"/>
        <w:ind w:firstLine="0"/>
      </w:pPr>
      <w:bookmarkStart w:id="0" w:name="_gjdgxs" w:colFirst="0" w:colLast="0"/>
      <w:bookmarkEnd w:id="0"/>
    </w:p>
    <w:sectPr w:rsidR="00225487" w:rsidRPr="00D408A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0C8" w:rsidRDefault="004010C8">
      <w:pPr>
        <w:spacing w:after="0" w:line="240" w:lineRule="auto"/>
      </w:pPr>
      <w:r>
        <w:separator/>
      </w:r>
    </w:p>
  </w:endnote>
  <w:endnote w:type="continuationSeparator" w:id="0">
    <w:p w:rsidR="004010C8" w:rsidRDefault="0040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0C8" w:rsidRDefault="004010C8">
      <w:pPr>
        <w:spacing w:after="0" w:line="240" w:lineRule="auto"/>
      </w:pPr>
      <w:r>
        <w:separator/>
      </w:r>
    </w:p>
  </w:footnote>
  <w:footnote w:type="continuationSeparator" w:id="0">
    <w:p w:rsidR="004010C8" w:rsidRDefault="00401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487" w:rsidRDefault="0037066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sidR="001B673A">
      <w:rPr>
        <w:noProof/>
      </w:rPr>
      <w:drawing>
        <wp:anchor distT="0" distB="0" distL="114300" distR="114300" simplePos="0" relativeHeight="251657728" behindDoc="0" locked="0" layoutInCell="1" allowOverlap="1">
          <wp:simplePos x="0" y="0"/>
          <wp:positionH relativeFrom="column">
            <wp:posOffset>5715</wp:posOffset>
          </wp:positionH>
          <wp:positionV relativeFrom="paragraph">
            <wp:posOffset>-274955</wp:posOffset>
          </wp:positionV>
          <wp:extent cx="676275" cy="657225"/>
          <wp:effectExtent l="0" t="0" r="0" b="0"/>
          <wp:wrapNone/>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69D9"/>
    <w:multiLevelType w:val="hybridMultilevel"/>
    <w:tmpl w:val="02F02BC8"/>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num w:numId="1" w16cid:durableId="52070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87"/>
    <w:rsid w:val="00002EA6"/>
    <w:rsid w:val="0003335F"/>
    <w:rsid w:val="000542B3"/>
    <w:rsid w:val="000560CA"/>
    <w:rsid w:val="00070494"/>
    <w:rsid w:val="000B3D3D"/>
    <w:rsid w:val="000D2A19"/>
    <w:rsid w:val="00100193"/>
    <w:rsid w:val="0012152E"/>
    <w:rsid w:val="00135DB5"/>
    <w:rsid w:val="00184E71"/>
    <w:rsid w:val="001961D1"/>
    <w:rsid w:val="001B0C56"/>
    <w:rsid w:val="001B673A"/>
    <w:rsid w:val="001B7179"/>
    <w:rsid w:val="001C0821"/>
    <w:rsid w:val="001C20E1"/>
    <w:rsid w:val="001C3F8B"/>
    <w:rsid w:val="001D0A3C"/>
    <w:rsid w:val="001E6CCA"/>
    <w:rsid w:val="001F3028"/>
    <w:rsid w:val="00203EDB"/>
    <w:rsid w:val="00213BB1"/>
    <w:rsid w:val="002210A1"/>
    <w:rsid w:val="00225487"/>
    <w:rsid w:val="00311F12"/>
    <w:rsid w:val="0035072F"/>
    <w:rsid w:val="0035762B"/>
    <w:rsid w:val="00363880"/>
    <w:rsid w:val="0037066B"/>
    <w:rsid w:val="00377E87"/>
    <w:rsid w:val="0039313E"/>
    <w:rsid w:val="003A7706"/>
    <w:rsid w:val="003C6028"/>
    <w:rsid w:val="004010C8"/>
    <w:rsid w:val="00403C44"/>
    <w:rsid w:val="00410537"/>
    <w:rsid w:val="0043363C"/>
    <w:rsid w:val="0044348C"/>
    <w:rsid w:val="00460CFB"/>
    <w:rsid w:val="00484DD7"/>
    <w:rsid w:val="005736A5"/>
    <w:rsid w:val="005B02F4"/>
    <w:rsid w:val="005E54F4"/>
    <w:rsid w:val="00623B8C"/>
    <w:rsid w:val="00634AD3"/>
    <w:rsid w:val="006536D8"/>
    <w:rsid w:val="00654963"/>
    <w:rsid w:val="00696FCD"/>
    <w:rsid w:val="006A5642"/>
    <w:rsid w:val="006D311E"/>
    <w:rsid w:val="006D4425"/>
    <w:rsid w:val="006D6AAA"/>
    <w:rsid w:val="00706180"/>
    <w:rsid w:val="00733A4E"/>
    <w:rsid w:val="00747942"/>
    <w:rsid w:val="0076612A"/>
    <w:rsid w:val="00797D14"/>
    <w:rsid w:val="007A049B"/>
    <w:rsid w:val="007B463A"/>
    <w:rsid w:val="007B5633"/>
    <w:rsid w:val="007C032C"/>
    <w:rsid w:val="007D34D7"/>
    <w:rsid w:val="00810B66"/>
    <w:rsid w:val="00817FD1"/>
    <w:rsid w:val="008328D7"/>
    <w:rsid w:val="008336DE"/>
    <w:rsid w:val="0085491C"/>
    <w:rsid w:val="008602A1"/>
    <w:rsid w:val="00883CA8"/>
    <w:rsid w:val="0089486A"/>
    <w:rsid w:val="008B10E6"/>
    <w:rsid w:val="00961930"/>
    <w:rsid w:val="009B76C8"/>
    <w:rsid w:val="009D36B1"/>
    <w:rsid w:val="009D4551"/>
    <w:rsid w:val="00A22EE2"/>
    <w:rsid w:val="00A62B27"/>
    <w:rsid w:val="00A72240"/>
    <w:rsid w:val="00A77C41"/>
    <w:rsid w:val="00A83A13"/>
    <w:rsid w:val="00A97F49"/>
    <w:rsid w:val="00B50B93"/>
    <w:rsid w:val="00B7711C"/>
    <w:rsid w:val="00BA3B21"/>
    <w:rsid w:val="00BA5AB2"/>
    <w:rsid w:val="00BD7DF6"/>
    <w:rsid w:val="00C021C8"/>
    <w:rsid w:val="00C07703"/>
    <w:rsid w:val="00C97E53"/>
    <w:rsid w:val="00D07037"/>
    <w:rsid w:val="00D408AE"/>
    <w:rsid w:val="00D8750B"/>
    <w:rsid w:val="00D91017"/>
    <w:rsid w:val="00DC147C"/>
    <w:rsid w:val="00E05699"/>
    <w:rsid w:val="00ED3417"/>
    <w:rsid w:val="00ED7DE2"/>
    <w:rsid w:val="00F42A62"/>
    <w:rsid w:val="00F43E30"/>
    <w:rsid w:val="00F512FF"/>
    <w:rsid w:val="00F860E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C2A4FE-DE7E-F445-9F61-EB6E1B15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ind w:hanging="1"/>
      <w:jc w:val="both"/>
    </w:pPr>
    <w:rPr>
      <w:sz w:val="24"/>
      <w:szCs w:val="24"/>
      <w:lang w:val="es-AR" w:eastAsia="es-AR"/>
    </w:rPr>
  </w:style>
  <w:style w:type="paragraph" w:styleId="Ttulo1">
    <w:name w:val="heading 1"/>
    <w:basedOn w:val="Normal"/>
    <w:next w:val="Normal"/>
    <w:pPr>
      <w:jc w:val="center"/>
      <w:outlineLvl w:val="0"/>
    </w:pPr>
    <w:rPr>
      <w:b/>
    </w:rPr>
  </w:style>
  <w:style w:type="paragraph" w:styleId="Ttulo2">
    <w:name w:val="heading 2"/>
    <w:basedOn w:val="Normal"/>
    <w:next w:val="Normal"/>
    <w:pPr>
      <w:jc w:val="center"/>
      <w:outlineLvl w:val="1"/>
    </w:pPr>
  </w:style>
  <w:style w:type="paragraph" w:styleId="Ttulo3">
    <w:name w:val="heading 3"/>
    <w:basedOn w:val="Normal"/>
    <w:next w:val="Normal"/>
    <w:pPr>
      <w:jc w:val="cente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ind w:hanging="1"/>
      <w:jc w:val="both"/>
    </w:pPr>
    <w:rPr>
      <w:sz w:val="24"/>
      <w:szCs w:val="24"/>
      <w:lang w:val="es-AR" w:eastAsia="es-AR"/>
    </w:rPr>
    <w:tblPr>
      <w:tblCellMar>
        <w:top w:w="0" w:type="dxa"/>
        <w:left w:w="0" w:type="dxa"/>
        <w:bottom w:w="0" w:type="dxa"/>
        <w:right w:w="0" w:type="dxa"/>
      </w:tblCellMar>
    </w:tblPr>
  </w:style>
  <w:style w:type="paragraph" w:customStyle="1" w:styleId="Puesto">
    <w:name w:val="Puesto"/>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D6AA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D6AAA"/>
    <w:rPr>
      <w:rFonts w:ascii="Segoe UI" w:hAnsi="Segoe UI" w:cs="Segoe UI"/>
      <w:sz w:val="18"/>
      <w:szCs w:val="18"/>
      <w:lang w:val="es-AR" w:eastAsia="es-AR"/>
    </w:rPr>
  </w:style>
  <w:style w:type="character" w:styleId="Refdecomentario">
    <w:name w:val="annotation reference"/>
    <w:uiPriority w:val="99"/>
    <w:semiHidden/>
    <w:unhideWhenUsed/>
    <w:rsid w:val="00184E71"/>
    <w:rPr>
      <w:sz w:val="16"/>
      <w:szCs w:val="16"/>
    </w:rPr>
  </w:style>
  <w:style w:type="paragraph" w:styleId="Textocomentario">
    <w:name w:val="annotation text"/>
    <w:basedOn w:val="Normal"/>
    <w:link w:val="TextocomentarioCar"/>
    <w:uiPriority w:val="99"/>
    <w:semiHidden/>
    <w:unhideWhenUsed/>
    <w:rsid w:val="00184E71"/>
    <w:rPr>
      <w:sz w:val="20"/>
      <w:szCs w:val="20"/>
    </w:rPr>
  </w:style>
  <w:style w:type="character" w:customStyle="1" w:styleId="TextocomentarioCar">
    <w:name w:val="Texto comentario Car"/>
    <w:link w:val="Textocomentario"/>
    <w:uiPriority w:val="99"/>
    <w:semiHidden/>
    <w:rsid w:val="00184E71"/>
    <w:rPr>
      <w:lang w:val="es-AR" w:eastAsia="es-AR"/>
    </w:rPr>
  </w:style>
  <w:style w:type="paragraph" w:styleId="Asuntodelcomentario">
    <w:name w:val="annotation subject"/>
    <w:basedOn w:val="Textocomentario"/>
    <w:next w:val="Textocomentario"/>
    <w:link w:val="AsuntodelcomentarioCar"/>
    <w:uiPriority w:val="99"/>
    <w:semiHidden/>
    <w:unhideWhenUsed/>
    <w:rsid w:val="00184E71"/>
    <w:rPr>
      <w:b/>
      <w:bCs/>
    </w:rPr>
  </w:style>
  <w:style w:type="character" w:customStyle="1" w:styleId="AsuntodelcomentarioCar">
    <w:name w:val="Asunto del comentario Car"/>
    <w:link w:val="Asuntodelcomentario"/>
    <w:uiPriority w:val="99"/>
    <w:semiHidden/>
    <w:rsid w:val="00184E71"/>
    <w:rPr>
      <w:b/>
      <w:bCs/>
      <w:lang w:val="es-AR" w:eastAsia="es-AR"/>
    </w:rPr>
  </w:style>
  <w:style w:type="paragraph" w:styleId="Prrafodelista">
    <w:name w:val="List Paragraph"/>
    <w:basedOn w:val="Normal"/>
    <w:uiPriority w:val="34"/>
    <w:qFormat/>
    <w:rsid w:val="000B3D3D"/>
    <w:pPr>
      <w:ind w:left="720"/>
      <w:contextualSpacing/>
    </w:pPr>
  </w:style>
  <w:style w:type="character" w:styleId="Hipervnculo">
    <w:name w:val="Hyperlink"/>
    <w:basedOn w:val="Fuentedeprrafopredeter"/>
    <w:uiPriority w:val="99"/>
    <w:unhideWhenUsed/>
    <w:rsid w:val="006D311E"/>
    <w:rPr>
      <w:color w:val="0563C1" w:themeColor="hyperlink"/>
      <w:u w:val="single"/>
    </w:rPr>
  </w:style>
  <w:style w:type="character" w:customStyle="1" w:styleId="Mencinsinresolver1">
    <w:name w:val="Mención sin resolver1"/>
    <w:basedOn w:val="Fuentedeprrafopredeter"/>
    <w:uiPriority w:val="99"/>
    <w:semiHidden/>
    <w:unhideWhenUsed/>
    <w:rsid w:val="006D311E"/>
    <w:rPr>
      <w:color w:val="605E5C"/>
      <w:shd w:val="clear" w:color="auto" w:fill="E1DFDD"/>
    </w:rPr>
  </w:style>
  <w:style w:type="character" w:styleId="Hipervnculovisitado">
    <w:name w:val="FollowedHyperlink"/>
    <w:basedOn w:val="Fuentedeprrafopredeter"/>
    <w:uiPriority w:val="99"/>
    <w:semiHidden/>
    <w:unhideWhenUsed/>
    <w:rsid w:val="001C3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3831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CharactersWithSpaces>
  <SharedDoc>false</SharedDoc>
  <HLinks>
    <vt:vector size="6" baseType="variant">
      <vt:variant>
        <vt:i4>852081</vt:i4>
      </vt:variant>
      <vt:variant>
        <vt:i4>0</vt:i4>
      </vt:variant>
      <vt:variant>
        <vt:i4>0</vt:i4>
      </vt:variant>
      <vt:variant>
        <vt:i4>5</vt:i4>
      </vt:variant>
      <vt:variant>
        <vt:lpwstr>mailto:latorre.emilia@gmail.com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 invitado</cp:lastModifiedBy>
  <cp:revision>2</cp:revision>
  <dcterms:created xsi:type="dcterms:W3CDTF">2022-07-29T16:12:00Z</dcterms:created>
  <dcterms:modified xsi:type="dcterms:W3CDTF">2022-07-29T16:12:00Z</dcterms:modified>
</cp:coreProperties>
</file>