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6EDC" w14:textId="0414BBE7" w:rsidR="009346C0" w:rsidRDefault="00F73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Validación de metodología cromatográfica para análisis de residuos de plaguicidas organoclorados y </w:t>
      </w:r>
      <w:proofErr w:type="spellStart"/>
      <w:r>
        <w:rPr>
          <w:b/>
          <w:color w:val="000000"/>
        </w:rPr>
        <w:t>PCB’s</w:t>
      </w:r>
      <w:proofErr w:type="spellEnd"/>
      <w:r>
        <w:rPr>
          <w:b/>
          <w:color w:val="000000"/>
        </w:rPr>
        <w:t xml:space="preserve"> en agua de pozo</w:t>
      </w:r>
    </w:p>
    <w:p w14:paraId="5509E9A1" w14:textId="77777777" w:rsidR="009346C0" w:rsidRDefault="009346C0">
      <w:pPr>
        <w:spacing w:after="0" w:line="240" w:lineRule="auto"/>
        <w:ind w:left="0" w:hanging="2"/>
        <w:jc w:val="center"/>
      </w:pPr>
    </w:p>
    <w:p w14:paraId="78549B21" w14:textId="4DF2ACF0" w:rsidR="009346C0" w:rsidRDefault="00F736C6">
      <w:pPr>
        <w:spacing w:after="0" w:line="240" w:lineRule="auto"/>
        <w:ind w:left="0" w:hanging="2"/>
        <w:jc w:val="center"/>
      </w:pPr>
      <w:r>
        <w:t>Vajda JE (1), Raco FF (1), Rodríguez MA (1)</w:t>
      </w:r>
    </w:p>
    <w:p w14:paraId="60D0326E" w14:textId="77777777" w:rsidR="009346C0" w:rsidRDefault="009346C0">
      <w:pPr>
        <w:spacing w:after="0" w:line="240" w:lineRule="auto"/>
        <w:ind w:left="0" w:hanging="2"/>
        <w:jc w:val="center"/>
      </w:pPr>
    </w:p>
    <w:p w14:paraId="2E2B801A" w14:textId="1E4125B9" w:rsidR="009346C0" w:rsidRDefault="00F80258">
      <w:pPr>
        <w:spacing w:after="120" w:line="240" w:lineRule="auto"/>
        <w:ind w:left="0" w:hanging="2"/>
        <w:jc w:val="left"/>
      </w:pPr>
      <w:r>
        <w:t xml:space="preserve">(1) </w:t>
      </w:r>
      <w:r w:rsidR="00F736C6">
        <w:t>Instituto Nacional de Tecnología Industrial (INTI)</w:t>
      </w:r>
    </w:p>
    <w:p w14:paraId="4762E565" w14:textId="2E335F41" w:rsidR="009346C0" w:rsidRDefault="00F80258">
      <w:pPr>
        <w:pBdr>
          <w:top w:val="nil"/>
          <w:left w:val="nil"/>
          <w:bottom w:val="nil"/>
          <w:right w:val="nil"/>
          <w:between w:val="nil"/>
        </w:pBdr>
        <w:tabs>
          <w:tab w:val="left" w:pos="7185"/>
        </w:tabs>
        <w:spacing w:after="0" w:line="240" w:lineRule="auto"/>
        <w:ind w:left="0" w:hanging="2"/>
        <w:jc w:val="left"/>
        <w:rPr>
          <w:color w:val="000000"/>
        </w:rPr>
      </w:pPr>
      <w:r>
        <w:rPr>
          <w:color w:val="000000"/>
        </w:rPr>
        <w:t>Dirección de e-mail:</w:t>
      </w:r>
      <w:r w:rsidR="00F736C6">
        <w:rPr>
          <w:color w:val="000000"/>
        </w:rPr>
        <w:t xml:space="preserve"> </w:t>
      </w:r>
      <w:hyperlink r:id="rId7" w:history="1">
        <w:r w:rsidR="00A6709D" w:rsidRPr="00322E6C">
          <w:rPr>
            <w:rStyle w:val="Hipervnculo"/>
          </w:rPr>
          <w:t>jvajda@inti.gob.ar</w:t>
        </w:r>
      </w:hyperlink>
      <w:r w:rsidR="00A6709D">
        <w:rPr>
          <w:color w:val="000000"/>
        </w:rPr>
        <w:t xml:space="preserve">; </w:t>
      </w:r>
      <w:hyperlink r:id="rId8" w:history="1">
        <w:r w:rsidR="00A6709D" w:rsidRPr="00322E6C">
          <w:rPr>
            <w:rStyle w:val="Hipervnculo"/>
          </w:rPr>
          <w:t>fraco@inti.gob.ar</w:t>
        </w:r>
      </w:hyperlink>
      <w:r w:rsidR="00A6709D">
        <w:rPr>
          <w:color w:val="000000"/>
        </w:rPr>
        <w:t xml:space="preserve">; </w:t>
      </w:r>
      <w:hyperlink r:id="rId9" w:history="1">
        <w:r w:rsidR="002E071E" w:rsidRPr="00B70921">
          <w:rPr>
            <w:rStyle w:val="Hipervnculo"/>
          </w:rPr>
          <w:t>ma1rodriguez@inti.gob.ar</w:t>
        </w:r>
      </w:hyperlink>
      <w:r w:rsidR="002E071E">
        <w:rPr>
          <w:color w:val="000000"/>
        </w:rPr>
        <w:t xml:space="preserve"> </w:t>
      </w:r>
      <w:r>
        <w:rPr>
          <w:color w:val="000000"/>
        </w:rPr>
        <w:tab/>
      </w:r>
    </w:p>
    <w:p w14:paraId="3807236A" w14:textId="77777777" w:rsidR="009346C0" w:rsidRDefault="009346C0">
      <w:pPr>
        <w:spacing w:after="0" w:line="240" w:lineRule="auto"/>
        <w:ind w:left="0" w:hanging="2"/>
      </w:pPr>
    </w:p>
    <w:p w14:paraId="04E67D8A" w14:textId="77777777" w:rsidR="009346C0" w:rsidRDefault="00F80258">
      <w:pPr>
        <w:spacing w:after="0" w:line="240" w:lineRule="auto"/>
        <w:ind w:left="0" w:hanging="2"/>
      </w:pPr>
      <w:r>
        <w:t>RESUMEN</w:t>
      </w:r>
    </w:p>
    <w:p w14:paraId="196ADD6B" w14:textId="77777777" w:rsidR="009346C0" w:rsidRDefault="009346C0">
      <w:pPr>
        <w:spacing w:after="0" w:line="240" w:lineRule="auto"/>
        <w:ind w:left="0" w:hanging="2"/>
      </w:pPr>
    </w:p>
    <w:p w14:paraId="0959C64D" w14:textId="63C6F1FA" w:rsidR="00E336C8" w:rsidRPr="00E336C8" w:rsidRDefault="00A607DE" w:rsidP="00E336C8">
      <w:pPr>
        <w:ind w:left="0" w:hanging="2"/>
      </w:pPr>
      <w:r w:rsidRPr="00A607DE">
        <w:t xml:space="preserve">Los contaminantes orgánicos persistentes (COP’s) son sustancias químicas orgánicas tóxicas, estables, persistentes, y de alta movilidad en el ambiente. Debido a su naturaleza liposoluble se acumulan en el tejido graso de los organismos vivos, </w:t>
      </w:r>
      <w:r w:rsidR="004D571B">
        <w:t>pudiendo</w:t>
      </w:r>
      <w:r w:rsidRPr="00A607DE">
        <w:t xml:space="preserve"> manifestarse los fenómenos de bioacumulación y biomagnificación representando, a través de la cadena alimentaria, un riesgo para la salud de la población. Dentro de este grupo de compuestos se encuentran los plaguicidas organoclorados, prohibidos a nivel mundial pero utilizados </w:t>
      </w:r>
      <w:r w:rsidR="004D571B">
        <w:t>históricamente</w:t>
      </w:r>
      <w:r w:rsidRPr="00A607DE">
        <w:t xml:space="preserve"> para el control de plagas, y los bifenilos policlorados (</w:t>
      </w:r>
      <w:proofErr w:type="spellStart"/>
      <w:r w:rsidRPr="00A607DE">
        <w:t>PCB’s</w:t>
      </w:r>
      <w:proofErr w:type="spellEnd"/>
      <w:r w:rsidRPr="00A607DE">
        <w:t>), utilizados en la industria principalmente en transformadores eléctricos.</w:t>
      </w:r>
      <w:r>
        <w:t xml:space="preserve"> En este marco, el Laboratorio de Cromatografía </w:t>
      </w:r>
      <w:r w:rsidR="001945F7">
        <w:t xml:space="preserve">del Departamento Red de Laboratorios Lácteos </w:t>
      </w:r>
      <w:r w:rsidR="003A0404">
        <w:t xml:space="preserve">participó en el </w:t>
      </w:r>
      <w:r w:rsidR="00CD0498" w:rsidRPr="00CD0498">
        <w:t>Proyecto RLA5069 “Mejora de la gestión de la contaminación de los contaminantes orgánicos persistentes para reducir el impacto en las personas y el medio ambiente”</w:t>
      </w:r>
      <w:r w:rsidR="008B78C7">
        <w:t xml:space="preserve"> el cual se desarroll</w:t>
      </w:r>
      <w:r w:rsidR="001945F7">
        <w:t>ó</w:t>
      </w:r>
      <w:r w:rsidR="008B78C7">
        <w:t xml:space="preserve"> dentro del </w:t>
      </w:r>
      <w:r w:rsidR="00464FD9">
        <w:t xml:space="preserve">Acuerdo Regional de Cooperación para la Promoción de la Ciencia y la Tecnología Nucleares en América Latina y el Caribe (ARCAL) </w:t>
      </w:r>
      <w:r w:rsidR="008B78C7">
        <w:t xml:space="preserve">entre Estados Miembros del Organismo Internacional de Energía Atómica (OIEA). </w:t>
      </w:r>
      <w:r w:rsidR="00464FD9">
        <w:t>El</w:t>
      </w:r>
      <w:r w:rsidR="00CD0498">
        <w:t xml:space="preserve"> objetivo</w:t>
      </w:r>
      <w:r w:rsidR="00464FD9">
        <w:t xml:space="preserve"> fue</w:t>
      </w:r>
      <w:r w:rsidR="00CD0498">
        <w:t xml:space="preserve"> </w:t>
      </w:r>
      <w:r w:rsidR="00FB542D">
        <w:t xml:space="preserve">estudiar el grado y modos de exposición </w:t>
      </w:r>
      <w:r w:rsidR="00FE28D1">
        <w:t xml:space="preserve">de diferentes poblaciones de América latina </w:t>
      </w:r>
      <w:r w:rsidR="00FB542D">
        <w:t xml:space="preserve">a los COP’s; establecer una correlación con la presencia en leche materna, agua potable y alimentos; e identificar grupos de riesgo y áreas contaminadas para ayudar al establecimiento de políticas de mitigación. </w:t>
      </w:r>
      <w:r w:rsidR="006C722D">
        <w:t xml:space="preserve">Con este fin, se llevó a cabo la validación de metodologías analíticas para el análisis de estos compuestos en </w:t>
      </w:r>
      <w:r w:rsidR="007947D4">
        <w:t>agua de pozo, suelo y leche materna</w:t>
      </w:r>
      <w:r w:rsidR="008662D8">
        <w:t xml:space="preserve">. </w:t>
      </w:r>
      <w:r w:rsidR="00464FD9">
        <w:t>S</w:t>
      </w:r>
      <w:r w:rsidR="007947D4">
        <w:t xml:space="preserve">e analizaron muestras de estas matrices con el </w:t>
      </w:r>
      <w:r w:rsidR="004D571B">
        <w:t>objetivo</w:t>
      </w:r>
      <w:r w:rsidR="007947D4">
        <w:t xml:space="preserve"> de realizar un estudio de análisis de riesgo </w:t>
      </w:r>
      <w:r w:rsidR="00BD5833">
        <w:t xml:space="preserve">en infantes por exposición a algunos de estos compuestos. </w:t>
      </w:r>
      <w:r w:rsidR="00CD5F16" w:rsidRPr="00CD5F16">
        <w:t xml:space="preserve">Para el estudio de validación, se tomaron como referencia las guías SANTE/11813/2017 y </w:t>
      </w:r>
      <w:proofErr w:type="spellStart"/>
      <w:r w:rsidR="00CD5F16" w:rsidRPr="00CD5F16">
        <w:t>Eurachem</w:t>
      </w:r>
      <w:proofErr w:type="spellEnd"/>
      <w:r w:rsidR="00CD5F16">
        <w:t>; e</w:t>
      </w:r>
      <w:r w:rsidR="00CD5F16" w:rsidRPr="00CD5F16">
        <w:t xml:space="preserve">l método de preparación de muestras se basa en el AOAC </w:t>
      </w:r>
      <w:proofErr w:type="spellStart"/>
      <w:r w:rsidR="00CD5F16" w:rsidRPr="00CD5F16">
        <w:t>Official</w:t>
      </w:r>
      <w:proofErr w:type="spellEnd"/>
      <w:r w:rsidR="00CD5F16" w:rsidRPr="00CD5F16">
        <w:t xml:space="preserve"> </w:t>
      </w:r>
      <w:proofErr w:type="spellStart"/>
      <w:r w:rsidR="00CD5F16" w:rsidRPr="00CD5F16">
        <w:t>Method</w:t>
      </w:r>
      <w:proofErr w:type="spellEnd"/>
      <w:r w:rsidR="00CD5F16" w:rsidRPr="00CD5F16">
        <w:t xml:space="preserve"> 990.06: 10.2.03</w:t>
      </w:r>
      <w:r w:rsidR="00464FD9">
        <w:t>,</w:t>
      </w:r>
      <w:r w:rsidR="00CD5F16" w:rsidRPr="00CD5F16">
        <w:t xml:space="preserve"> consiste en una extracción con cloruro de metileno y solución saturada de cloruro de sodio</w:t>
      </w:r>
      <w:r w:rsidR="00CD5F16">
        <w:t xml:space="preserve"> seguido de una concentración de l</w:t>
      </w:r>
      <w:r w:rsidR="00CD5F16" w:rsidRPr="00CD5F16">
        <w:t>os extractos</w:t>
      </w:r>
      <w:r w:rsidR="00CD5F16">
        <w:t>, llev</w:t>
      </w:r>
      <w:r w:rsidR="00CD5F16" w:rsidRPr="00CD5F16">
        <w:t>a</w:t>
      </w:r>
      <w:r w:rsidR="00CD5F16">
        <w:t xml:space="preserve">ndo a </w:t>
      </w:r>
      <w:r w:rsidR="00CD5F16" w:rsidRPr="00CD5F16">
        <w:t xml:space="preserve">volumen con </w:t>
      </w:r>
      <w:proofErr w:type="spellStart"/>
      <w:r w:rsidR="00CD5F16" w:rsidRPr="00CD5F16">
        <w:t>isooctano</w:t>
      </w:r>
      <w:proofErr w:type="spellEnd"/>
      <w:r w:rsidR="00CD5F16" w:rsidRPr="00CD5F16">
        <w:t xml:space="preserve"> y </w:t>
      </w:r>
      <w:r w:rsidR="00CD5F16">
        <w:t>realizando</w:t>
      </w:r>
      <w:r w:rsidR="00CD5F16" w:rsidRPr="00CD5F16">
        <w:t xml:space="preserve"> la </w:t>
      </w:r>
      <w:r w:rsidR="00CD5F16">
        <w:t>cuantificación</w:t>
      </w:r>
      <w:r w:rsidR="00CD5F16" w:rsidRPr="00CD5F16">
        <w:t xml:space="preserve"> por Cromatografía gaseosa</w:t>
      </w:r>
      <w:r w:rsidR="00CD5F16">
        <w:t xml:space="preserve"> utilizando una curva de</w:t>
      </w:r>
      <w:r w:rsidR="00996D03">
        <w:t xml:space="preserve"> </w:t>
      </w:r>
      <w:r w:rsidR="00996D03" w:rsidRPr="00CD5F16">
        <w:t>calibración externa con estándar interno</w:t>
      </w:r>
      <w:r w:rsidR="00CD5F16">
        <w:t>. Se</w:t>
      </w:r>
      <w:r w:rsidR="00CD5F16" w:rsidRPr="00CD5F16">
        <w:t xml:space="preserve"> utiliz</w:t>
      </w:r>
      <w:r w:rsidR="00CD5F16">
        <w:t>ó</w:t>
      </w:r>
      <w:r w:rsidR="00CD5F16" w:rsidRPr="00CD5F16">
        <w:t xml:space="preserve"> un equipo Agilent Technologies 7890A con detector µECD</w:t>
      </w:r>
      <w:r w:rsidR="00CD5F16">
        <w:t xml:space="preserve"> en</w:t>
      </w:r>
      <w:r w:rsidR="00CD5F16" w:rsidRPr="00CD5F16">
        <w:t xml:space="preserve"> modo de inyección </w:t>
      </w:r>
      <w:proofErr w:type="spellStart"/>
      <w:r w:rsidR="00CD5F16" w:rsidRPr="00CD5F16">
        <w:t>splitless</w:t>
      </w:r>
      <w:proofErr w:type="spellEnd"/>
      <w:r w:rsidR="00CD5F16" w:rsidRPr="00CD5F16">
        <w:t xml:space="preserve"> a 250°C, </w:t>
      </w:r>
      <w:r w:rsidR="00986A68">
        <w:t>con</w:t>
      </w:r>
      <w:r w:rsidR="00CD5F16" w:rsidRPr="00CD5F16">
        <w:t xml:space="preserve"> gradiente de temperatura</w:t>
      </w:r>
      <w:r w:rsidR="00932151">
        <w:t xml:space="preserve"> </w:t>
      </w:r>
      <w:r w:rsidR="0063753C">
        <w:t>en el horno,</w:t>
      </w:r>
      <w:r w:rsidR="00932151">
        <w:t xml:space="preserve"> </w:t>
      </w:r>
      <w:r w:rsidR="00CD5F16" w:rsidRPr="00CD5F16">
        <w:t xml:space="preserve">y </w:t>
      </w:r>
      <w:r w:rsidR="004D571B">
        <w:t>el</w:t>
      </w:r>
      <w:r w:rsidR="00CD5F16" w:rsidRPr="00CD5F16">
        <w:t xml:space="preserve"> detector </w:t>
      </w:r>
      <w:r w:rsidR="004D571B">
        <w:t>a</w:t>
      </w:r>
      <w:r w:rsidR="00CD5F16" w:rsidRPr="00CD5F16">
        <w:t xml:space="preserve"> 320°C. </w:t>
      </w:r>
      <w:r w:rsidR="00996D03">
        <w:t xml:space="preserve">En el estudio de validación se evaluaron </w:t>
      </w:r>
      <w:r w:rsidR="00986A68">
        <w:t xml:space="preserve">como parámetros de desempeño del método la </w:t>
      </w:r>
      <w:r w:rsidR="00996D03" w:rsidRPr="00CD5F16">
        <w:t xml:space="preserve">selectividad, </w:t>
      </w:r>
      <w:r w:rsidR="00DA68D7">
        <w:t xml:space="preserve">linealidad, </w:t>
      </w:r>
      <w:r w:rsidR="00996D03" w:rsidRPr="00CD5F16">
        <w:t xml:space="preserve">límite de detección (LOD), </w:t>
      </w:r>
      <w:r w:rsidR="00996D03" w:rsidRPr="00CD5F16">
        <w:lastRenderedPageBreak/>
        <w:t>límite de cuantificación (LOQ), veracidad</w:t>
      </w:r>
      <w:r w:rsidR="00DA68D7">
        <w:t>, repetibilidad</w:t>
      </w:r>
      <w:r w:rsidR="00996D03" w:rsidRPr="00CD5F16">
        <w:t xml:space="preserve"> y cálculo de incertidumbre.</w:t>
      </w:r>
      <w:r w:rsidR="00996D03">
        <w:t xml:space="preserve"> Como resultado se obtuvo que para </w:t>
      </w:r>
      <w:r w:rsidR="00996D03" w:rsidRPr="00996D03">
        <w:t>todos los analitos estudiados se cumplió con el criterio de selectividad establecido, se obtuvo un R</w:t>
      </w:r>
      <w:r w:rsidR="00996D03" w:rsidRPr="00DA68D7">
        <w:rPr>
          <w:vertAlign w:val="superscript"/>
        </w:rPr>
        <w:t>2</w:t>
      </w:r>
      <w:r w:rsidR="00996D03" w:rsidRPr="00996D03">
        <w:t xml:space="preserve"> entre 0.997-0.999, un LOD de 0.025 ng/ml y un LOQ de 0.05 ng/ml; el 92% de los analitos presentaron un porcentaje de recuperación entre 80-114% y un RSD entre 5-13%; mientras que la incertidumbre relativa fue entre 14-50% para el 88% de los compuestos.</w:t>
      </w:r>
      <w:r w:rsidR="00AA2AB8">
        <w:t xml:space="preserve"> </w:t>
      </w:r>
      <w:r w:rsidR="00E336C8">
        <w:t xml:space="preserve">En base a estos resultados se concluye que se logró validar una </w:t>
      </w:r>
      <w:r w:rsidR="00E336C8" w:rsidRPr="00E336C8">
        <w:t>metodología analítica simple</w:t>
      </w:r>
      <w:r w:rsidR="00E336C8">
        <w:t>, accesible para los laboratorios de la región</w:t>
      </w:r>
      <w:r w:rsidR="00E336C8" w:rsidRPr="00E336C8">
        <w:t xml:space="preserve">, </w:t>
      </w:r>
      <w:r w:rsidR="00E336C8">
        <w:t xml:space="preserve">y de gran importancia dentro del proyecto </w:t>
      </w:r>
      <w:r w:rsidR="00BD5833" w:rsidRPr="00CD0498">
        <w:t>RLA5069</w:t>
      </w:r>
      <w:r w:rsidR="004D571B">
        <w:t>.</w:t>
      </w:r>
    </w:p>
    <w:p w14:paraId="55C889C2" w14:textId="77777777" w:rsidR="00E336C8" w:rsidRPr="00CD5F16" w:rsidRDefault="00E336C8" w:rsidP="00CD5F16">
      <w:pPr>
        <w:ind w:left="0" w:hanging="2"/>
      </w:pPr>
    </w:p>
    <w:p w14:paraId="42CC7B43" w14:textId="36743D17" w:rsidR="00CD5F16" w:rsidRPr="00CD0498" w:rsidRDefault="00053A83" w:rsidP="00CD0498">
      <w:pPr>
        <w:ind w:left="0" w:hanging="2"/>
      </w:pPr>
      <w:r>
        <w:t xml:space="preserve">Palabras clave: pesticidas, </w:t>
      </w:r>
      <w:r w:rsidR="00FD068A">
        <w:t>contaminantes, alimentos, riesgo.</w:t>
      </w:r>
    </w:p>
    <w:p w14:paraId="238317CE" w14:textId="77777777" w:rsidR="00CD0498" w:rsidRPr="00CD0498" w:rsidRDefault="00CD0498" w:rsidP="00CD0498">
      <w:pPr>
        <w:ind w:left="0" w:hanging="2"/>
      </w:pPr>
    </w:p>
    <w:p w14:paraId="799DC604" w14:textId="2AFCD791" w:rsidR="00CD0498" w:rsidRDefault="00CD0498" w:rsidP="00A607DE">
      <w:pPr>
        <w:ind w:left="0" w:hanging="2"/>
      </w:pPr>
    </w:p>
    <w:p w14:paraId="4C280780" w14:textId="77777777" w:rsidR="00A6709D" w:rsidRDefault="00A6709D">
      <w:pPr>
        <w:spacing w:after="0" w:line="240" w:lineRule="auto"/>
        <w:ind w:left="0" w:hanging="2"/>
      </w:pPr>
    </w:p>
    <w:p w14:paraId="4A232FA7" w14:textId="77777777" w:rsidR="00A6709D" w:rsidRDefault="00A6709D">
      <w:pPr>
        <w:spacing w:after="0" w:line="240" w:lineRule="auto"/>
        <w:ind w:left="0" w:hanging="2"/>
      </w:pPr>
    </w:p>
    <w:p w14:paraId="5A72317F" w14:textId="77777777" w:rsidR="00A6709D" w:rsidRDefault="00A6709D">
      <w:pPr>
        <w:spacing w:after="0" w:line="240" w:lineRule="auto"/>
        <w:ind w:left="0" w:hanging="2"/>
      </w:pPr>
    </w:p>
    <w:p w14:paraId="6E53020B" w14:textId="01825902" w:rsidR="003F741B" w:rsidRDefault="003F741B">
      <w:pPr>
        <w:spacing w:after="0" w:line="240" w:lineRule="auto"/>
        <w:ind w:left="0" w:hanging="2"/>
      </w:pPr>
    </w:p>
    <w:p w14:paraId="205290D1" w14:textId="77777777" w:rsidR="009346C0" w:rsidRDefault="009346C0">
      <w:pPr>
        <w:spacing w:after="0" w:line="240" w:lineRule="auto"/>
        <w:ind w:left="0" w:hanging="2"/>
      </w:pPr>
    </w:p>
    <w:p w14:paraId="1A8A6224" w14:textId="73FDBF30" w:rsidR="009346C0" w:rsidRDefault="009346C0">
      <w:pPr>
        <w:spacing w:after="0" w:line="240" w:lineRule="auto"/>
        <w:ind w:left="0" w:hanging="2"/>
      </w:pPr>
    </w:p>
    <w:p w14:paraId="689C9BC1" w14:textId="5B103D1D" w:rsidR="00FE28D1" w:rsidRPr="00FE28D1" w:rsidRDefault="00FE28D1" w:rsidP="00FE28D1">
      <w:pPr>
        <w:ind w:left="0" w:hanging="2"/>
      </w:pPr>
    </w:p>
    <w:p w14:paraId="190560FF" w14:textId="7E66D9D8" w:rsidR="00FE28D1" w:rsidRPr="00FE28D1" w:rsidRDefault="00FE28D1" w:rsidP="00FE28D1">
      <w:pPr>
        <w:ind w:left="0" w:hanging="2"/>
      </w:pPr>
    </w:p>
    <w:p w14:paraId="4AC0310C" w14:textId="4A2683AF" w:rsidR="00FE28D1" w:rsidRDefault="00FE28D1" w:rsidP="00FE28D1">
      <w:pPr>
        <w:ind w:left="0" w:hanging="2"/>
      </w:pPr>
    </w:p>
    <w:p w14:paraId="4296A0BF" w14:textId="7F8B4034" w:rsidR="00FE28D1" w:rsidRPr="00FE28D1" w:rsidRDefault="00FE28D1" w:rsidP="00FE28D1">
      <w:pPr>
        <w:tabs>
          <w:tab w:val="left" w:pos="5911"/>
        </w:tabs>
        <w:ind w:left="0" w:hanging="2"/>
      </w:pPr>
      <w:r>
        <w:tab/>
      </w:r>
      <w:r>
        <w:tab/>
      </w:r>
    </w:p>
    <w:sectPr w:rsidR="00FE28D1" w:rsidRPr="00FE28D1">
      <w:headerReference w:type="default" r:id="rId10"/>
      <w:pgSz w:w="11907" w:h="16840"/>
      <w:pgMar w:top="1417" w:right="1701" w:bottom="1417" w:left="1701" w:header="794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C970" w14:textId="77777777" w:rsidR="00C95980" w:rsidRDefault="00C9598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35C43F" w14:textId="77777777" w:rsidR="00C95980" w:rsidRDefault="00C959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9220" w14:textId="77777777" w:rsidR="00C95980" w:rsidRDefault="00C9598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13F479" w14:textId="77777777" w:rsidR="00C95980" w:rsidRDefault="00C959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F8CA" w14:textId="77777777" w:rsidR="009346C0" w:rsidRDefault="00F80258">
    <w:pPr>
      <w:pBdr>
        <w:top w:val="nil"/>
        <w:left w:val="nil"/>
        <w:bottom w:val="single" w:sz="4" w:space="1" w:color="000000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b/>
        <w:i/>
        <w:color w:val="000000"/>
        <w:sz w:val="18"/>
        <w:szCs w:val="18"/>
        <w:highlight w:val="white"/>
      </w:rPr>
      <w:t>VIII Congreso Internacional de Ciencia y Tecnología de Alimentos (CICYTAC 202</w:t>
    </w:r>
    <w:r>
      <w:rPr>
        <w:b/>
        <w:i/>
        <w:sz w:val="18"/>
        <w:szCs w:val="18"/>
        <w:highlight w:val="white"/>
      </w:rPr>
      <w:t>2</w:t>
    </w:r>
    <w:r>
      <w:rPr>
        <w:b/>
        <w:i/>
        <w:color w:val="000000"/>
        <w:sz w:val="18"/>
        <w:szCs w:val="18"/>
        <w:highlight w:val="white"/>
      </w:rPr>
      <w:t>)</w:t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4659DD36" wp14:editId="008849AC">
          <wp:simplePos x="0" y="0"/>
          <wp:positionH relativeFrom="column">
            <wp:posOffset>5717</wp:posOffset>
          </wp:positionH>
          <wp:positionV relativeFrom="paragraph">
            <wp:posOffset>-274953</wp:posOffset>
          </wp:positionV>
          <wp:extent cx="676275" cy="65722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C0"/>
    <w:rsid w:val="00005EA0"/>
    <w:rsid w:val="00053A83"/>
    <w:rsid w:val="00064325"/>
    <w:rsid w:val="001945F7"/>
    <w:rsid w:val="00285761"/>
    <w:rsid w:val="002E071E"/>
    <w:rsid w:val="003A0404"/>
    <w:rsid w:val="003F741B"/>
    <w:rsid w:val="00464FD9"/>
    <w:rsid w:val="0048433F"/>
    <w:rsid w:val="004D571B"/>
    <w:rsid w:val="005C1F18"/>
    <w:rsid w:val="0063753C"/>
    <w:rsid w:val="006C722D"/>
    <w:rsid w:val="007136F7"/>
    <w:rsid w:val="007947D4"/>
    <w:rsid w:val="008662D8"/>
    <w:rsid w:val="008B78C7"/>
    <w:rsid w:val="00932151"/>
    <w:rsid w:val="009346C0"/>
    <w:rsid w:val="009417EC"/>
    <w:rsid w:val="00986A68"/>
    <w:rsid w:val="0099323C"/>
    <w:rsid w:val="00996D03"/>
    <w:rsid w:val="00A04200"/>
    <w:rsid w:val="00A45500"/>
    <w:rsid w:val="00A607DE"/>
    <w:rsid w:val="00A66FE9"/>
    <w:rsid w:val="00A6709D"/>
    <w:rsid w:val="00AA2AB8"/>
    <w:rsid w:val="00BD5833"/>
    <w:rsid w:val="00C95980"/>
    <w:rsid w:val="00CD0498"/>
    <w:rsid w:val="00CD5F16"/>
    <w:rsid w:val="00D757E2"/>
    <w:rsid w:val="00DA68D7"/>
    <w:rsid w:val="00E336C8"/>
    <w:rsid w:val="00F71D42"/>
    <w:rsid w:val="00F736C6"/>
    <w:rsid w:val="00F80258"/>
    <w:rsid w:val="00FB542D"/>
    <w:rsid w:val="00FD068A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CB8B"/>
  <w15:docId w15:val="{8815F6D9-2FD6-4C43-9A08-B39274FB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AR" w:eastAsia="es-A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jc w:val="center"/>
    </w:pPr>
    <w:rPr>
      <w:rFonts w:cs="Times New Roman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jc w:val="center"/>
      <w:outlineLvl w:val="1"/>
    </w:pPr>
    <w:rPr>
      <w:rFonts w:cs="Times New Roma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jc w:val="center"/>
      <w:outlineLvl w:val="2"/>
    </w:pPr>
    <w:rPr>
      <w:rFonts w:cs="Times New Roma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rFonts w:cs="Times New Roman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709D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D5F16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Revisin">
    <w:name w:val="Revision"/>
    <w:hidden/>
    <w:uiPriority w:val="99"/>
    <w:semiHidden/>
    <w:rsid w:val="00A66FE9"/>
    <w:pPr>
      <w:spacing w:after="0" w:line="240" w:lineRule="auto"/>
      <w:jc w:val="left"/>
    </w:pPr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co@inti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vajda@inti.gob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1rodriguez@inti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mKHZqRsTeP2jWW+ipVKqlJ+bA==">AMUW2mUWsRN7BO5oURnXPd9rcfLpH2q3+63IgwNv2cdFXIzbDCpnIt+yAIXQWAFkACalvfTQZXZuW32ykv7rw7bHfYgOLZw9+Y+aH2rxwvuZhOwswNfuZAgHaUuewU5XuvTl3shb4wsN6peKjHrScwP0hqj/nFPpG60ZdZRHmP5lCAw2573gRhX0yjSUxLlcgZK3lt6EUbXaInHv4j0L6yvkZdG4kYOr7o3qE+gDfVC4AWQXxpUYTBI1gkmS2m2ZrTsyoXaDuUsTxDxVGmgx6TrvEgQbCl+WVsGpoGzTfEXPW7bxWoE5g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Intituto Nacional de Tecnologia Industrial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Juliana Erika Vajda</cp:lastModifiedBy>
  <cp:revision>3</cp:revision>
  <dcterms:created xsi:type="dcterms:W3CDTF">2022-09-21T14:49:00Z</dcterms:created>
  <dcterms:modified xsi:type="dcterms:W3CDTF">2022-09-21T14:55:00Z</dcterms:modified>
</cp:coreProperties>
</file>